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c0e42c55d32db4c2741f1336a6a9d33b145ab"/>
    <w:p>
      <w:pPr>
        <w:pStyle w:val="Heading3"/>
      </w:pPr>
      <w:r>
        <w:t xml:space="preserve">В Москве разработан план мероприятий по подготовке к празднованию 70-й годовщины Победы в Великой Отечественной войне.</w:t>
      </w:r>
    </w:p>
    <w:p>
      <w:pPr>
        <w:pStyle w:val="FirstParagraph"/>
      </w:pPr>
      <w:r>
        <w:t xml:space="preserve">28.01.2014</w:t>
      </w:r>
    </w:p>
    <w:p>
      <w:pPr>
        <w:pStyle w:val="BodyText"/>
      </w:pPr>
      <w:r>
        <w:t xml:space="preserve">Комитетом общественных связей города Москвы совместно с общественными ветеранскими организациями, органами исполнительной власти и префектурами административных округов разработан план юбилейных мероприятий. В нем учтены и пожелания ветеранов.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Мероприятия предусматривают не только памятные акции, но и социальную, медицинскую, бытовую помощь и усиление патриотической работы среди молодежи и подростков.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http://moskvoreche-saburovo.mos.ru/towards-the-70th-anniversary-of-the-victory-in-the-great-patriotic-war-of-1941-1945/detail/935951.html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935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935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2025-05-10T23:18:23Z</dcterms:created>
  <dcterms:modified xsi:type="dcterms:W3CDTF">2025-05-10T23:18:23Z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