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сенняя-призывная-кампания-2020-года"/>
    <w:p>
      <w:pPr>
        <w:pStyle w:val="Heading3"/>
      </w:pPr>
      <w:r>
        <w:t xml:space="preserve">Осенняя призывная кампания 2020 года</w:t>
      </w:r>
    </w:p>
    <w:p>
      <w:pPr>
        <w:pStyle w:val="FirstParagraph"/>
      </w:pPr>
      <w:r>
        <w:t xml:space="preserve">15.10.2020</w:t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3d5/rd5uv_opck6cyvjpc2alh_2vapsyqmwdnp3g_j4zfkkb2xka8lib_kk7gt6_y5ssxuac_mtspezt4phelsbkavbcig2yu4hon6ekic_ek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http://moskvoreche-saburovo.mos.ru/the-prosecutor/detail/9325666.html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prosecutor/detail/9325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prosecutor/detail/9325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2025-05-03T15:24:04Z</dcterms:created>
  <dcterms:modified xsi:type="dcterms:W3CDTF">2025-05-03T15:24:04Z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