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9be07d5f90de752c74495352e37cefb8015f3"/>
    <w:p>
      <w:pPr>
        <w:pStyle w:val="Heading3"/>
      </w:pPr>
      <w:r>
        <w:t xml:space="preserve">В Москве и Московской области материнским капиталом владеют 1 169 675 семей</w:t>
      </w:r>
    </w:p>
    <w:p>
      <w:pPr>
        <w:pStyle w:val="FirstParagraph"/>
      </w:pPr>
      <w:r>
        <w:t xml:space="preserve">22.04.2021</w:t>
      </w:r>
    </w:p>
    <w:p>
      <w:pPr>
        <w:pStyle w:val="BodyText"/>
      </w:pPr>
      <w:r>
        <w:t xml:space="preserve">С начала года в Московском регионе число владельцев материнского капитала пополнилось на 33 тысячи семей</w:t>
      </w:r>
    </w:p>
    <w:p>
      <w:pPr>
        <w:pStyle w:val="BodyText"/>
      </w:pPr>
      <w:r>
        <w:t xml:space="preserve">С начала действия государственной программы материнского (семейного) капитала – с 2007 года – Отделением ПФР по г.  Москве и Московской области выдано 1 169 675 государственных сертификатов на материнский (семейный) капитал. Распорядились средствами материнского (семейного) капитала 325 840 семей.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Программа продлена до конца 2026 года. Самым популярным направлением расходования средств материнского капитала в Московском регионе, как и по всей стране, остается улучшение жилищных условий. На эти цели средства  направили 352 624 семьи: 206 275 – в Москве и 146 349 – в  Московской области. Сумма составила  148,7 млрд рублей.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9 728 семей, из них 65 372 – в Москве, 14 356 – в Московской области.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семей, в которых после 1 января 2020 года родился второй, третий или последующие дети, материнский (семейный) капитал устанавливается в размере 639 431 руб. 83 коп. в случае, если ранее право на дополнительные меры государственной поддержки семей, имеющих детей, не возникало.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http://moskvoreche-saburovo.mos.ru/the-pension-fund-informs/detail/9894552.html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894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9894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2025-05-03T15:27:15Z</dcterms:created>
  <dcterms:modified xsi:type="dcterms:W3CDTF">2025-05-03T15:27:15Z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