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6ac15238c3246cb15ef79146ab97d8a856b95"/>
    <w:p>
      <w:pPr>
        <w:pStyle w:val="Heading3"/>
      </w:pPr>
      <w:r>
        <w:t xml:space="preserve">На Московской бирже прошел аукцион по размещению пенсионных накоплений в банковские депозиты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t xml:space="preserve">1 марта Пенсионный фонд России провел на Московской бирже отбор заявок банков по размещению в депозиты 6,5 млрд рублей резерва по обязательному пенсионному страхованию. Средства будут размещены на 54 дня, до 25 апреля 2022 года, минимальная ставка 20% годовых. От одного банка принимается до пяти заявок, объем каждой – не меньше 1 млрд рублей.</w:t>
      </w:r>
    </w:p>
    <w:p>
      <w:pPr>
        <w:pStyle w:val="BodyText"/>
      </w:pPr>
      <w:r>
        <w:t xml:space="preserve">Напомним, согласно закону средства обязательных и добровольных страховых взносов на накопительную пенсию подлежат инвестированию до момента передачи в управляющие компании и негосударственные пенсионные фонды. Инвестированию также подлежат средства резерва Пенсионного фонда России по обязательному пенсионному страхованию.</w:t>
      </w:r>
    </w:p>
    <w:p>
      <w:pPr>
        <w:pStyle w:val="BodyText"/>
      </w:pPr>
      <w:r>
        <w:t xml:space="preserve">Депозитные аукционы проводятся в соответствии с постановлением Правительства РФ и приказами Министерства финансов РФ, которые регламентируют порядок и критерии отбора банков, принимающих участие в аукционе.</w:t>
      </w:r>
      <w:r>
        <w:t xml:space="preserve"> </w:t>
      </w:r>
      <w:hyperlink r:id="rId20">
        <w:r>
          <w:rPr>
            <w:rStyle w:val="Hyperlink"/>
          </w:rPr>
          <w:t xml:space="preserve">Подробнее</w:t>
        </w:r>
      </w:hyperlink>
      <w:r>
        <w:t xml:space="preserve"> о размещении пенсионных накоплений в банковские депозиты.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http://moskvoreche-saburovo.mos.ru/the-pension-fund-informs/detail/10654230.html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654230.html" TargetMode="External" /><Relationship Type="http://schemas.openxmlformats.org/officeDocument/2006/relationships/hyperlink" Id="rId20" Target="https://pfr.gov.ru/grazhdanam/pensions/pens_nak/bank_depozit~6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654230.html" TargetMode="External" /><Relationship Type="http://schemas.openxmlformats.org/officeDocument/2006/relationships/hyperlink" Id="rId20" Target="https://pfr.gov.ru/grazhdanam/pensions/pens_nak/bank_depozit~6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2025-05-03T15:26:57Z</dcterms:created>
  <dcterms:modified xsi:type="dcterms:W3CDTF">2025-05-03T15:26:57Z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