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650699d757151f53b9bcd4000f5d4fcb3911eea"/>
    <w:p>
      <w:pPr>
        <w:pStyle w:val="Heading3"/>
      </w:pPr>
      <w:r>
        <w:t xml:space="preserve">Пенсионное обеспечение лиц, прибывших из республик бывшего СССР</w:t>
      </w:r>
    </w:p>
    <w:p>
      <w:pPr>
        <w:pStyle w:val="FirstParagraph"/>
      </w:pPr>
      <w:r>
        <w:t xml:space="preserve">23.11.2021</w:t>
      </w:r>
    </w:p>
    <w:p>
      <w:pPr>
        <w:pStyle w:val="BodyText"/>
      </w:pPr>
      <w:r>
        <w:t xml:space="preserve">Механизм пенсионного обеспечения граждан, прибывших в Российскую Федерацию из государств бывшего СССР, подробно прописан в соответствующих международных договорах. Это документы, подтверждающие личность, возраст, место жительства, проживание и гражданство лица, которому устанавливается пенсия по нормам международного соглашения (договора), в зависимости от его правового статуса на территории России</w:t>
      </w:r>
    </w:p>
    <w:p>
      <w:pPr>
        <w:pStyle w:val="BodyText"/>
      </w:pPr>
      <w:r>
        <w:t xml:space="preserve">Для применения международных соглашений от 13.03.1992,  от 10.02.1995, от 16.05.1997, от 29.06.1999 необходимым условием для назначения пенсии на территории России является постоянное проживание на территории России, которое подтверждается:</w:t>
      </w:r>
    </w:p>
    <w:p>
      <w:pPr>
        <w:numPr>
          <w:ilvl w:val="0"/>
          <w:numId w:val="1001"/>
        </w:numPr>
        <w:pStyle w:val="Compact"/>
      </w:pPr>
      <w:r>
        <w:rPr>
          <w:iCs/>
          <w:i/>
        </w:rPr>
        <w:t xml:space="preserve">паспортом гражданина  РФ с отметкой о регистрации по месту жительства, видом на жительство для иностранного гражданина либо лица без гражданства, в том числе с отметкой о регистрации по месту жительства</w:t>
      </w:r>
    </w:p>
    <w:p>
      <w:pPr>
        <w:pStyle w:val="FirstParagraph"/>
      </w:pPr>
      <w:r>
        <w:t xml:space="preserve">При обращении за назначением пенсии в соответствии международными договорами от 24.01.2006, от 14.07.2011, от 18.12.2007  на территории Российской Федерации необходимо подтвердить законное проживание на территории России на момент обращения за пенсией:</w:t>
      </w:r>
    </w:p>
    <w:p>
      <w:pPr>
        <w:numPr>
          <w:ilvl w:val="0"/>
          <w:numId w:val="1002"/>
        </w:numPr>
        <w:pStyle w:val="Compact"/>
      </w:pPr>
      <w:r>
        <w:rPr>
          <w:iCs/>
          <w:i/>
        </w:rPr>
        <w:t xml:space="preserve">граждане Российской Федерации подтверждают проживание  паспортом гражданина  РФ с отметкой о регистрации по месту жительства, свидетельством о регистрации по месту пребывания;  </w:t>
      </w:r>
    </w:p>
    <w:p>
      <w:pPr>
        <w:numPr>
          <w:ilvl w:val="0"/>
          <w:numId w:val="1002"/>
        </w:numPr>
        <w:pStyle w:val="Compact"/>
      </w:pPr>
      <w:r>
        <w:rPr>
          <w:iCs/>
          <w:i/>
        </w:rPr>
        <w:t xml:space="preserve">иностранные граждане  -  видом на жительство для иностранного гражданина либо лица без гражданства, разрешением на временное проживание.</w:t>
      </w:r>
    </w:p>
    <w:p>
      <w:pPr>
        <w:pStyle w:val="FirstParagraph"/>
      </w:pPr>
      <w:r>
        <w:t xml:space="preserve">Периоды работы и (или) иной деятельности, включаемые в страховой стаж, дающие право на страховую пенсию по старости:</w:t>
      </w:r>
    </w:p>
    <w:p>
      <w:pPr>
        <w:numPr>
          <w:ilvl w:val="0"/>
          <w:numId w:val="1003"/>
        </w:numPr>
        <w:pStyle w:val="Compact"/>
      </w:pPr>
      <w:r>
        <w:rPr>
          <w:iCs/>
          <w:i/>
        </w:rPr>
        <w:t xml:space="preserve">Гражданам, прибывшим из государств - участников Соглашения от 13 марта 1992 года учитывается трудовой стаж, приобретенный на территории любого из этих государств, а также на территории бывшего СССР. При этом стаж работы после 01.01.2002 года может быть включен в подсчет страхового стажа при условии уплаты страховых взносов на пенсионное обеспечение в соответствующие органы той страны, на территории которой осуществлялась трудовая и (или) иная деятельность.</w:t>
      </w:r>
    </w:p>
    <w:p>
      <w:pPr>
        <w:numPr>
          <w:ilvl w:val="0"/>
          <w:numId w:val="1003"/>
        </w:numPr>
        <w:pStyle w:val="Compact"/>
      </w:pPr>
      <w:r>
        <w:rPr>
          <w:iCs/>
          <w:i/>
        </w:rPr>
        <w:t xml:space="preserve">Гражданам, прибывшим из</w:t>
      </w:r>
      <w:r>
        <w:rPr>
          <w:iCs/>
          <w:i/>
        </w:rPr>
        <w:t xml:space="preserve"> </w:t>
      </w:r>
      <w:r>
        <w:rPr>
          <w:bCs/>
          <w:b/>
          <w:iCs/>
          <w:i/>
        </w:rPr>
        <w:t xml:space="preserve">Республики Молдова и Республики Грузия</w:t>
      </w:r>
      <w:r>
        <w:rPr>
          <w:iCs/>
          <w:i/>
        </w:rPr>
        <w:t xml:space="preserve">, учитывается трудовой стаж, приобретенный в соответствии с законодательством РФ или Республик Молдова или Грузия, а также на территории бывшего СССР по 31 декабря 1990 года. Периоды работы на территории  Республик Молдова и Грузия после 1 января 1991 года включаются  в страховой стаж на основании справок компетентных органов названных государств об уплате страховых взносов на обязательное пенсионное обеспечение либо на социальное страхование: соответственно Социальным фондом Республики Молдова или Единым государственным фондом социального обеспечения и медицинского страхования Республики Грузия.</w:t>
      </w:r>
    </w:p>
    <w:p>
      <w:pPr>
        <w:numPr>
          <w:ilvl w:val="0"/>
          <w:numId w:val="1003"/>
        </w:numPr>
        <w:pStyle w:val="Compact"/>
      </w:pPr>
      <w:r>
        <w:rPr>
          <w:iCs/>
          <w:i/>
        </w:rPr>
        <w:t xml:space="preserve">Гражданам, прибывшим в Российскую Федерацию из  </w:t>
      </w:r>
      <w:r>
        <w:rPr>
          <w:bCs/>
          <w:b/>
          <w:iCs/>
          <w:i/>
        </w:rPr>
        <w:t xml:space="preserve">Литовской Республики</w:t>
      </w:r>
      <w:r>
        <w:rPr>
          <w:iCs/>
          <w:i/>
        </w:rPr>
        <w:t xml:space="preserve">, принимается во внимание страховой стаж, учитываемый при назначении пенсий согласно законодательству РФ и Литовской Республики, в том числе и до вступления в силу Соглашения от 26.09.1999. Исчисление периодов работы за пределами территории Российской Федерации после 1 декабря 1991 г. производится на основании справки о страховом стаже, выданной Отделом заграничных пенсий Управления фонда государственного социального страхования Литовской Республики</w:t>
      </w:r>
    </w:p>
    <w:p>
      <w:pPr>
        <w:numPr>
          <w:ilvl w:val="0"/>
          <w:numId w:val="1003"/>
        </w:numPr>
        <w:pStyle w:val="Compact"/>
      </w:pPr>
      <w:r>
        <w:rPr>
          <w:iCs/>
          <w:i/>
        </w:rPr>
        <w:t xml:space="preserve">Гражданам, прибывшим из государства - республики бывшего СССР, не заключившего соглашение с Российской Федерацией</w:t>
      </w:r>
      <w:r>
        <w:rPr>
          <w:iCs/>
          <w:i/>
        </w:rPr>
        <w:t xml:space="preserve"> </w:t>
      </w:r>
      <w:r>
        <w:rPr>
          <w:bCs/>
          <w:b/>
          <w:iCs/>
          <w:i/>
        </w:rPr>
        <w:t xml:space="preserve">(Азербайджан),</w:t>
      </w:r>
      <w:r>
        <w:rPr>
          <w:iCs/>
          <w:i/>
        </w:rPr>
        <w:t xml:space="preserve"> </w:t>
      </w:r>
      <w:r>
        <w:rPr>
          <w:iCs/>
          <w:i/>
        </w:rPr>
        <w:t xml:space="preserve">учитывается страховой стаж, исчисленный с учетом периодов работы в СССР до 1 января 1991 г., независимо от уплаты страховых взносов. Периоды работы после указанной даты включаются в страховой стаж при условии уплаты страховых взносов в Пенсионный фонд Российской Федерации.</w:t>
      </w:r>
    </w:p>
    <w:p>
      <w:pPr>
        <w:pStyle w:val="FirstParagraph"/>
      </w:pPr>
      <w:r>
        <w:t xml:space="preserve">При назначении пенсии гражданам Российской Федерации и Республики</w:t>
      </w:r>
      <w:r>
        <w:t xml:space="preserve"> </w:t>
      </w:r>
      <w:r>
        <w:rPr>
          <w:bCs/>
          <w:b/>
        </w:rPr>
        <w:t xml:space="preserve">Беларусь</w:t>
      </w:r>
      <w:r>
        <w:t xml:space="preserve"> </w:t>
      </w:r>
      <w:r>
        <w:t xml:space="preserve">учитывается страховой (трудовой) стаж, приобретенный на территориях обеих Договаривающихся Сторон, кроме случаев, когда периоды этого стажа совпадают по времени их приобретения. Подсчет страхового (трудового) стажа для исчисления размера пенсии осуществляется согласно законодательству Договаривающейся Стороны, назначающей пенсию.</w:t>
      </w:r>
    </w:p>
    <w:p>
      <w:pPr>
        <w:pStyle w:val="BodyText"/>
      </w:pPr>
      <w:r>
        <w:t xml:space="preserve">При назначении пенсии гражданам Российской Федерации и</w:t>
      </w:r>
      <w:r>
        <w:t xml:space="preserve"> </w:t>
      </w:r>
      <w:r>
        <w:rPr>
          <w:bCs/>
          <w:b/>
        </w:rPr>
        <w:t xml:space="preserve">Эстонской Республики</w:t>
      </w:r>
      <w:r>
        <w:t xml:space="preserve"> </w:t>
      </w:r>
      <w:r>
        <w:t xml:space="preserve">учитываются периоды пенсионного стажа, приобретенные на территориях Договаривающихся Сторон, в том числе на территориях бывших РСФСР и ЭССР. Каждая Договаривающаяся Сторона исчисляет размер пенсии, соответствующий пенсионному стажу, приобретенному на ее территории, согласно положениям своего законодательства. Периоды пенсионного стажа, приобретенные на территории бывшего СССР, кроме территорий бывших РСФСР и ЭССР, не учитываются при определении размера пенсии.</w:t>
      </w:r>
    </w:p>
    <w:p>
      <w:pPr>
        <w:pStyle w:val="BodyText"/>
      </w:pPr>
      <w:r>
        <w:t xml:space="preserve">При назначении пенсии гражданам Российской Федерации и</w:t>
      </w:r>
      <w:r>
        <w:t xml:space="preserve"> </w:t>
      </w:r>
      <w:r>
        <w:rPr>
          <w:bCs/>
          <w:b/>
        </w:rPr>
        <w:t xml:space="preserve">Латвийской Республики</w:t>
      </w:r>
      <w:r>
        <w:t xml:space="preserve"> </w:t>
      </w:r>
      <w:r>
        <w:t xml:space="preserve">учитывается страховой (трудовой) стаж, приобретенный на территориях обеих Договаривающихся Сторон, кроме случаев, когда периоды этого стажа совпадают по времени их приобретения. Каждая Договаривающаяся Сторона исчисляет размер пенсии, соответствующий страховому (трудовому) стажу, приобретенному на ее территории, согласно положениям своего законодательства.</w:t>
      </w:r>
    </w:p>
    <w:p>
      <w:pPr>
        <w:pStyle w:val="BodyText"/>
      </w:pPr>
      <w:r>
        <w:t xml:space="preserve">За периоды страхового (трудового) стаж, приобретенного до 01.01.1991 на территории бывшего СССР, пенсию назначает и выплачивает Договаривающаяся Сторона, на территории которой лицо постоянно проживает  в момент обращения за пенсией в соответствии с Договором от 18.12.2007. За периоды страхового (трудового) стажа, приобретенного после 01.01.1991, каждая Договаривающаяся сторона исчисляет и выплачивает пенсию, соответствующую страховому (трудовому) стажу, приобретенному на ее территории, в соответствии с Договором от 18.12.2007.</w:t>
      </w:r>
    </w:p>
    <w:p>
      <w:pPr>
        <w:pStyle w:val="BodyText"/>
      </w:pPr>
      <w:r>
        <w:t xml:space="preserve">ГУ ПФР № 8 по г. Москве и Московской </w:t>
      </w:r>
    </w:p>
    <w:p>
      <w:pPr>
        <w:pStyle w:val="BodyText"/>
      </w:pPr>
      <w:r>
        <w:br/>
      </w:r>
    </w:p>
    <w:p>
      <w:pPr>
        <w:pStyle w:val="BodyText"/>
      </w:pPr>
      <w:r>
        <w:t xml:space="preserve">Адрес страницы:</w:t>
      </w:r>
      <w:r>
        <w:t xml:space="preserve"> </w:t>
      </w:r>
      <w:hyperlink r:id="rId20">
        <w:r>
          <w:rPr>
            <w:rStyle w:val="Hyperlink"/>
          </w:rPr>
          <w:t xml:space="preserve">http://moskvoreche-saburovo.mos.ru/the-pension-fund-informs/detail/10417037.html</w:t>
        </w:r>
      </w:hyperlink>
    </w:p>
    <w:p>
      <w:pPr>
        <w:pStyle w:val="BodyText"/>
      </w:pPr>
      <w:hyperlink r:id="rId21">
        <w:r>
          <w:rPr>
            <w:rStyle w:val="Hyperlink"/>
          </w:rPr>
          <w:t xml:space="preserve">Управа района Москворечье-Сабурово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oskvoreche-saburovo.mos.ru" TargetMode="External" /><Relationship Type="http://schemas.openxmlformats.org/officeDocument/2006/relationships/hyperlink" Id="rId20" Target="http://moskvoreche-saburovo.mos.ru/the-pension-fund-informs/detail/10417037.html" TargetMode="External" /></Relationships>
</file>

<file path=word/_rels/footnotes.xml.rels><?xml version="1.0" encoding="UTF-8"?><Relationships xmlns="http://schemas.openxmlformats.org/package/2006/relationships"><Relationship Type="http://schemas.openxmlformats.org/officeDocument/2006/relationships/hyperlink" Id="rId21" Target="http://moskvoreche-saburovo.mos.ru" TargetMode="External" /><Relationship Type="http://schemas.openxmlformats.org/officeDocument/2006/relationships/hyperlink" Id="rId20" Target="http://moskvoreche-saburovo.mos.ru/the-pension-fund-informs/detail/1041703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2025-05-03T15:27:02Z</dcterms:created>
  <dcterms:modified xsi:type="dcterms:W3CDTF">2025-05-03T15:27:02Z</dcterms:modified>
</cp:coreProperties>
</file>

<file path=docProps/custom.xml><?xml version="1.0" encoding="utf-8"?>
<Properties xmlns="http://schemas.openxmlformats.org/officeDocument/2006/custom-properties" xmlns:vt="http://schemas.openxmlformats.org/officeDocument/2006/docPropsVTypes"/>
</file>