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65afeb5f35ccb6169b2f4245fd2441cb1161f"/>
    <w:p>
      <w:pPr>
        <w:pStyle w:val="Heading3"/>
      </w:pPr>
      <w:r>
        <w:t xml:space="preserve">Сменить страховщика пенсионных накоплений можно до 1 декабря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t xml:space="preserve">ГУ ПФР № 8 по г. Москве и Московской области напоминает, что граждане, у которых формируются пенсионные накопления, могут самостоятельно выбрать другого страховщика, который будет ими управлять: Пенсионный фонд России (ПФР) или негосударственный пенсионный фонд (НПФ). Если гражданин решил сменить страховщика, то заявление об этом необходимо подать до 1 декабря.</w:t>
      </w:r>
    </w:p>
    <w:p>
      <w:pPr>
        <w:pStyle w:val="BodyText"/>
      </w:pPr>
      <w:r>
        <w:t xml:space="preserve">Смена страховщика пенсионных накоплений происходит при переходе из одного НПФ в другой, а также при переходе из ПФР в НПФ или из НПФ в ПФР. При переводе пенсионных накоплений из одной управляющей компании в другую страховщик не меняется – им остается Пенсионный фонд России.</w:t>
      </w:r>
    </w:p>
    <w:p>
      <w:pPr>
        <w:pStyle w:val="BodyText"/>
      </w:pPr>
      <w:r>
        <w:t xml:space="preserve">Принимая решение о переводе средств пенсионных накоплений, важно помнить, что переход от одного страховщика к другому чаще, чем один раз в пять лет, может повлечь потерю инвестиционного дохода. Информация о возможной потере инвестиционного дохода в случае досрочного перевода средств отражается в уведомлении, которое выдаётся гражданину при подаче заявления.</w:t>
      </w:r>
    </w:p>
    <w:p>
      <w:pPr>
        <w:pStyle w:val="BodyText"/>
      </w:pPr>
      <w:r>
        <w:t xml:space="preserve">Заявление можно подать следующими способами:</w:t>
      </w:r>
    </w:p>
    <w:p>
      <w:pPr>
        <w:numPr>
          <w:ilvl w:val="0"/>
          <w:numId w:val="1001"/>
        </w:numPr>
        <w:pStyle w:val="Compact"/>
      </w:pPr>
      <w:r>
        <w:t xml:space="preserve">через портал госуслуг - электронное заявление должно быть подписано усиленной квалифицированной электронной подписью;</w:t>
      </w:r>
    </w:p>
    <w:p>
      <w:pPr>
        <w:numPr>
          <w:ilvl w:val="0"/>
          <w:numId w:val="1001"/>
        </w:numPr>
        <w:pStyle w:val="Compact"/>
      </w:pPr>
      <w:r>
        <w:t xml:space="preserve">через клиентскую службу ПФР независимо от места жительства, предварительно записавшись на приём. Заявление можно подать как лично, так и через представителя, действующего на основании нотариально удостоверенной доверенности.</w:t>
      </w:r>
    </w:p>
    <w:p>
      <w:pPr>
        <w:pStyle w:val="FirstParagraph"/>
      </w:pPr>
      <w:r>
        <w:t xml:space="preserve">Если гражданин вдруг изменит своё решение после подачи заявления, то в течение декабря он может его аннулировать путем подачи уведомления об отказе от смены страховщика.</w:t>
      </w:r>
    </w:p>
    <w:p>
      <w:pPr>
        <w:pStyle w:val="BodyText"/>
      </w:pPr>
      <w:r>
        <w:t xml:space="preserve">Уточнить, какой страховщик управляет Вашими накоплениями и сумму накоплений, можно, заказав выписку из своего индивидуального лицевого счёта на портале госуслуг или в личном кабинете на сайте ПФР. Если страховщиком является ПФР, сумма пенсионных накоплений указывается с учётом результата инвестирования, если страховщик НПФ – указывается номинал пенсионных накоплений, переданный этому фонду в управление.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http://moskvoreche-saburovo.mos.ru/the-pension-fund-informs/detail/10370689.html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70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70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2025-05-03T15:27:02Z</dcterms:created>
  <dcterms:modified xsi:type="dcterms:W3CDTF">2025-05-03T15:27:02Z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