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оформить-пенсию-можно-через-работодателя"/>
    <w:p>
      <w:pPr>
        <w:pStyle w:val="Heading3"/>
      </w:pPr>
      <w:r>
        <w:t xml:space="preserve">Оформить пенсию можно через работодателя</w:t>
      </w:r>
    </w:p>
    <w:p>
      <w:pPr>
        <w:pStyle w:val="FirstParagraph"/>
      </w:pPr>
      <w:r>
        <w:t xml:space="preserve">15.06.2021</w:t>
      </w:r>
    </w:p>
    <w:p>
      <w:pPr>
        <w:pStyle w:val="BodyText"/>
      </w:pPr>
      <w:r>
        <w:t xml:space="preserve">Начальник Главного управления ПФР № 8 по г. Москве и Московской области  Дмитрий Гулида напоминает, что в соответствии с законодательством работодатель вправе обращаться за установлением страховой пенсии застрахованным лицам на основании письменного заявления своего работника.</w:t>
      </w:r>
    </w:p>
    <w:p>
      <w:pPr>
        <w:pStyle w:val="BodyText"/>
      </w:pPr>
      <w:r>
        <w:t xml:space="preserve">Если между работодателем, с которым гражданин состоит в трудовых отношениях, и территориальным органом ПФР заключено соглашение об обмене электронными документами в системе электронного документооборота, заявление и документы граждан, необходимые для назначения пенсии, направляются кадровой службой организации в территориальные органы Пенсионного фонда в электронном виде, что существенно экономит время самих граждан и сокращает сроки назначения пенсий.</w:t>
      </w:r>
    </w:p>
    <w:p>
      <w:pPr>
        <w:pStyle w:val="BodyText"/>
      </w:pPr>
      <w:r>
        <w:rPr>
          <w:bCs/>
          <w:b/>
          <w:iCs/>
          <w:i/>
        </w:rPr>
        <w:t xml:space="preserve">Благодаря заключенным соглашениям организации Московского региона имеют возможность направлять в территориальные органы ПФР</w:t>
      </w:r>
      <w:r>
        <w:rPr>
          <w:iCs/>
          <w:i/>
        </w:rPr>
        <w:t xml:space="preserve"> </w:t>
      </w:r>
      <w:r>
        <w:t xml:space="preserve"> </w:t>
      </w:r>
      <w:r>
        <w:rPr>
          <w:iCs/>
          <w:i/>
          <w:bCs/>
          <w:b/>
        </w:rPr>
        <w:t xml:space="preserve">сведения о сотрудниках (списки и документы, необходимые для назначения пенсии) за 24 месяца до наступления возраста, дающего право на назначение пенсии по старости, для проведения заблаговременной работы.</w:t>
      </w:r>
    </w:p>
    <w:p>
      <w:pPr>
        <w:pStyle w:val="BodyText"/>
      </w:pPr>
      <w:r>
        <w:t xml:space="preserve">Информация передается</w:t>
      </w:r>
      <w:r>
        <w:t xml:space="preserve"> </w:t>
      </w:r>
      <w:r>
        <w:rPr>
          <w:bCs/>
          <w:b/>
          <w:iCs/>
          <w:i/>
        </w:rPr>
        <w:t xml:space="preserve">только с письменного согласия сотрудника на передачу и обработку его персональных данных</w:t>
      </w:r>
      <w:r>
        <w:t xml:space="preserve"> </w:t>
      </w:r>
      <w:r>
        <w:t xml:space="preserve">по защищенным каналам связи с использованием усиленной квалифицированной электронной подписи работодателя в соответствии с требованиями к защите персональных данных граждан, которые установлены законодательством.</w:t>
      </w:r>
    </w:p>
    <w:p>
      <w:pPr>
        <w:pStyle w:val="BodyText"/>
      </w:pPr>
      <w:r>
        <w:t xml:space="preserve">Гражданин может предварительно ознакомиться с выпиской из индивидуального лицевого счета, где отражены его сформированные пенсионные права – сведения о стаже, заработке, страховых взносах и пенсионных коэффициентах. Такую выписку можно получить</w:t>
      </w:r>
      <w:r>
        <w:t xml:space="preserve"> </w:t>
      </w:r>
      <w:r>
        <w:rPr>
          <w:iCs/>
          <w:i/>
        </w:rPr>
        <w:t xml:space="preserve">в  личном кабинете на</w:t>
      </w:r>
      <w:r>
        <w:t xml:space="preserve"> </w:t>
      </w:r>
      <w:hyperlink r:id="rId20">
        <w:r>
          <w:rPr>
            <w:rStyle w:val="Hyperlink"/>
          </w:rPr>
          <w:t xml:space="preserve">сайте ПФР</w:t>
        </w:r>
      </w:hyperlink>
      <w:r>
        <w:t xml:space="preserve"> </w:t>
      </w:r>
      <w:r>
        <w:t xml:space="preserve"> </w:t>
      </w:r>
      <w:r>
        <w:rPr>
          <w:iCs/>
          <w:i/>
        </w:rPr>
        <w:t xml:space="preserve">или</w:t>
      </w:r>
      <w:r>
        <w:t xml:space="preserve"> </w:t>
      </w:r>
      <w:hyperlink r:id="rId21">
        <w:r>
          <w:rPr>
            <w:rStyle w:val="Hyperlink"/>
          </w:rPr>
          <w:t xml:space="preserve">портале госуслуг</w:t>
        </w:r>
      </w:hyperlink>
      <w:r>
        <w:t xml:space="preserve"> </w:t>
      </w:r>
      <w:r>
        <w:rPr>
          <w:iCs/>
          <w:i/>
        </w:rPr>
        <w:t xml:space="preserve">или в клиентской службе ПФР или МФЦ</w:t>
      </w:r>
      <w:r>
        <w:rPr>
          <w:bCs/>
          <w:b/>
        </w:rPr>
        <w:t xml:space="preserve">.</w:t>
      </w:r>
    </w:p>
    <w:p>
      <w:pPr>
        <w:pStyle w:val="BodyText"/>
      </w:pPr>
      <w:r>
        <w:rPr>
          <w:bCs/>
          <w:b/>
          <w:iCs/>
          <w:i/>
        </w:rPr>
        <w:t xml:space="preserve">Если гражданин удовлетворен полнотой имеющихся на индивидуальном лицевом счете сведений, то при заполнении заявления о назначении пенсии ему необходимо проставить отметку о согласии назначения пенсии по имеющимся сведениям индивидуального лицевого счета.</w:t>
      </w:r>
    </w:p>
    <w:p>
      <w:pPr>
        <w:pStyle w:val="BodyText"/>
      </w:pPr>
      <w:r>
        <w:t xml:space="preserve">Дмитрий Вадимович подтверждает, что если работа по уточнению и дополнению необходимых для назначения пенсии сведений будет завершена до достижения заявителем возраста, дающего право на назначение страховой пенсии по старости, пенсия будет назначена не позднее 10 рабочих дней со дня подачи заявления о назначении пенсии. </w:t>
      </w:r>
    </w:p>
    <w:p>
      <w:pPr>
        <w:pStyle w:val="BodyText"/>
      </w:pPr>
      <w:r>
        <w:t xml:space="preserve">Таким образом, к моменту наступления права на пенсию гражданину останется подать заявление о назначении пенсии, которое может быть направлено в территориальный орган ПФР работодателем в электронной форме по защищенным каналам связи в рамках заключенных соглашений.</w:t>
      </w:r>
    </w:p>
    <w:p>
      <w:pPr>
        <w:pStyle w:val="BodyText"/>
      </w:pPr>
      <w:r>
        <w:t xml:space="preserve"> </w:t>
      </w:r>
    </w:p>
    <w:p>
      <w:pPr>
        <w:pStyle w:val="BodyText"/>
      </w:pPr>
      <w:r>
        <w:rPr>
          <w:bCs/>
          <w:b/>
        </w:rPr>
        <w:t xml:space="preserve">ГУ ПФР № 8 по г. Москве и Московской области</w:t>
      </w:r>
    </w:p>
    <w:p>
      <w:pPr>
        <w:pStyle w:val="BodyText"/>
      </w:pPr>
      <w:r>
        <w:br/>
      </w:r>
    </w:p>
    <w:p>
      <w:pPr>
        <w:pStyle w:val="BodyText"/>
      </w:pPr>
      <w:r>
        <w:t xml:space="preserve">Адрес страницы:</w:t>
      </w:r>
      <w:r>
        <w:t xml:space="preserve"> </w:t>
      </w:r>
      <w:hyperlink r:id="rId22">
        <w:r>
          <w:rPr>
            <w:rStyle w:val="Hyperlink"/>
          </w:rPr>
          <w:t xml:space="preserve">http://moskvoreche-saburovo.mos.ru/the-pension-fund-informs/detail/10031196.html</w:t>
        </w:r>
      </w:hyperlink>
    </w:p>
    <w:p>
      <w:pPr>
        <w:pStyle w:val="BodyText"/>
      </w:pPr>
      <w:hyperlink r:id="rId23">
        <w:r>
          <w:rPr>
            <w:rStyle w:val="Hyperlink"/>
          </w:rPr>
          <w:t xml:space="preserve">Управа района Москворечье-Сабурово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oskvoreche-saburovo.mos.ru" TargetMode="External" /><Relationship Type="http://schemas.openxmlformats.org/officeDocument/2006/relationships/hyperlink" Id="rId22" Target="http://moskvoreche-saburovo.mos.ru/the-pension-fund-informs/detail/10031196.html" TargetMode="External" /><Relationship Type="http://schemas.openxmlformats.org/officeDocument/2006/relationships/hyperlink" Id="rId20" Target="https://es.pfrf.ru/" TargetMode="External" /><Relationship Type="http://schemas.openxmlformats.org/officeDocument/2006/relationships/hyperlink" Id="rId21" Target="https://www.gosuslugi.ru/" TargetMode="External" /></Relationships>
</file>

<file path=word/_rels/footnotes.xml.rels><?xml version="1.0" encoding="UTF-8"?><Relationships xmlns="http://schemas.openxmlformats.org/package/2006/relationships"><Relationship Type="http://schemas.openxmlformats.org/officeDocument/2006/relationships/hyperlink" Id="rId23" Target="http://moskvoreche-saburovo.mos.ru" TargetMode="External" /><Relationship Type="http://schemas.openxmlformats.org/officeDocument/2006/relationships/hyperlink" Id="rId22" Target="http://moskvoreche-saburovo.mos.ru/the-pension-fund-informs/detail/10031196.html" TargetMode="External" /><Relationship Type="http://schemas.openxmlformats.org/officeDocument/2006/relationships/hyperlink" Id="rId20" Target="https://es.pfrf.ru/" TargetMode="External" /><Relationship Type="http://schemas.openxmlformats.org/officeDocument/2006/relationships/hyperlink" Id="rId21" Target="https://www.gosuslugi.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2025-05-03T15:27:10Z</dcterms:created>
  <dcterms:modified xsi:type="dcterms:W3CDTF">2025-05-03T15:27:10Z</dcterms:modified>
</cp:coreProperties>
</file>

<file path=docProps/custom.xml><?xml version="1.0" encoding="utf-8"?>
<Properties xmlns="http://schemas.openxmlformats.org/officeDocument/2006/custom-properties" xmlns:vt="http://schemas.openxmlformats.org/officeDocument/2006/docPropsVTypes"/>
</file>