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8dad623d096f8483f1ac43ee74e28e436e8772"/>
    <w:p>
      <w:pPr>
        <w:pStyle w:val="Heading3"/>
      </w:pPr>
      <w:r>
        <w:t xml:space="preserve">Административная ответственность за участие несовершеннолетних в несанкционированных митингах</w:t>
      </w:r>
    </w:p>
    <w:p>
      <w:pPr>
        <w:pStyle w:val="FirstParagraph"/>
      </w:pPr>
      <w:r>
        <w:t xml:space="preserve">01.02.2021</w:t>
      </w:r>
    </w:p>
    <w:p>
      <w:pPr>
        <w:pStyle w:val="BodyText"/>
      </w:pPr>
      <w:r>
        <w:drawing>
          <wp:inline>
            <wp:extent cx="5334000" cy="375732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dbe/administrativnaya-otvetstvennost-za-uchastie-nesovershennoletnikh-v-mitingak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73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http://moskvoreche-saburovo.mos.ru/the-commission-on-affairs-of-minors-and-protection-of-their-rights/detail/9680238.html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commission-on-affairs-of-minors-and-protection-of-their-rights/detail/96802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commission-on-affairs-of-minors-and-protection-of-their-rights/detail/96802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2025-01-30T12:12:50Z</dcterms:created>
  <dcterms:modified xsi:type="dcterms:W3CDTF">2025-01-30T12:12:50Z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