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082f071cf77b6b3b379a75accda7f10a1fe5ed"/>
    <w:p>
      <w:pPr>
        <w:pStyle w:val="Heading3"/>
      </w:pPr>
      <w:r>
        <w:t xml:space="preserve">Памятка по трудоустройству несовершеннолетних соискателей 14-17 лет. 2019 год.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drawing>
          <wp:inline>
            <wp:extent cx="5334000" cy="76115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a7/2019_07_17_11_46_3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1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2408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28/2019_07_17_11_47_19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40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4426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e6/2019_07_17_11_47_4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44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http://moskvoreche-saburovo.mos.ru/the-commission-on-affairs-of-minors-and-protection-of-their-rights/detail/8224704.html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he-commission-on-affairs-of-minors-and-protection-of-their-rights/detail/8224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he-commission-on-affairs-of-minors-and-protection-of-their-rights/detail/8224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2025-02-28T02:09:33Z</dcterms:created>
  <dcterms:modified xsi:type="dcterms:W3CDTF">2025-02-28T02:09:33Z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