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e46e779bb86b8e90ad726c31de780759191da"/>
    <w:p>
      <w:pPr>
        <w:pStyle w:val="Heading3"/>
      </w:pPr>
      <w:r>
        <w:t xml:space="preserve">ПРОКУРАТУРА ЮЖНОГО АДМИНИСТРАТИВНОГО ОКРУГА информирует: "Законодательством Российской Федерации запрещается пропаганда наркотиков"</w:t>
      </w:r>
    </w:p>
    <w:p>
      <w:pPr>
        <w:pStyle w:val="FirstParagraph"/>
      </w:pPr>
      <w:r>
        <w:t xml:space="preserve">23.10.2018</w:t>
      </w:r>
    </w:p>
    <w:p>
      <w:pPr>
        <w:pStyle w:val="BodyText"/>
      </w:pPr>
      <w:r>
        <w:drawing>
          <wp:inline>
            <wp:extent cx="5334000" cy="7557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81/prokuratura-2018_10_2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7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http://moskvoreche-saburovo.mos.ru/the-commission-on-affairs-of-minors-and-protection-of-their-rights/detail/7650645.html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650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650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2025-01-30T03:30:06Z</dcterms:created>
  <dcterms:modified xsi:type="dcterms:W3CDTF">2025-01-30T03:30:06Z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