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3b50da5ba3cadcfeb6977c928e5ce8f851223c"/>
    <w:p>
      <w:pPr>
        <w:pStyle w:val="Heading3"/>
      </w:pPr>
      <w:r>
        <w:t xml:space="preserve">В летний период в столице действует программа детского летнего отдыха «Московская смена».</w:t>
      </w:r>
    </w:p>
    <w:p>
      <w:pPr>
        <w:pStyle w:val="FirstParagraph"/>
      </w:pPr>
      <w:r>
        <w:t xml:space="preserve">08.05.2018</w:t>
      </w:r>
    </w:p>
    <w:p>
      <w:pPr>
        <w:pStyle w:val="BodyText"/>
      </w:pPr>
      <w:r>
        <w:drawing>
          <wp:inline>
            <wp:extent cx="5334000" cy="75966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06e/2018_05_08-_3_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966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60726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324/2018_05_08-_3_-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072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http://moskvoreche-saburovo.mos.ru/the-commission-on-affairs-of-minors-and-protection-of-their-rights/detail/7314221.html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the-commission-on-affairs-of-minors-and-protection-of-their-rights/detail/73142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the-commission-on-affairs-of-minors-and-protection-of-their-rights/detail/73142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2025-05-03T15:16:45Z</dcterms:created>
  <dcterms:modified xsi:type="dcterms:W3CDTF">2025-05-03T15:16:45Z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