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как-помочь-близкому"/>
    <w:p>
      <w:pPr>
        <w:pStyle w:val="Heading3"/>
      </w:pPr>
      <w:r>
        <w:t xml:space="preserve">Как помочь близкому</w:t>
      </w:r>
    </w:p>
    <w:p>
      <w:pPr>
        <w:pStyle w:val="FirstParagraph"/>
      </w:pPr>
      <w:r>
        <w:t xml:space="preserve">15.02.2018</w:t>
      </w:r>
    </w:p>
    <w:p>
      <w:pPr>
        <w:pStyle w:val="BodyText"/>
      </w:pPr>
      <w:r>
        <w:drawing>
          <wp:inline>
            <wp:extent cx="5334000" cy="37348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2ec/negosudartvennye-organizatsi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48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5046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258/chto-nuzhno-delat-esli-tvoy-blizkiy-pet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0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http://moskvoreche-saburovo.mos.ru/the-commission-on-affairs-of-minors-and-protection-of-their-rights/detail/7149803.html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7149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7149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2025-05-03T15:16:44Z</dcterms:created>
  <dcterms:modified xsi:type="dcterms:W3CDTF">2025-05-03T15:16:44Z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