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9b1e1589ed9ddbb6837b1a1ceb6163f2dc33ae"/>
    <w:p>
      <w:pPr>
        <w:pStyle w:val="Heading3"/>
      </w:pPr>
      <w:r>
        <w:t xml:space="preserve">Органы, осуществляющие защиту прав несовершеннолетних: 1</w:t>
      </w:r>
    </w:p>
    <w:p>
      <w:pPr>
        <w:pStyle w:val="FirstParagraph"/>
      </w:pPr>
      <w:r>
        <w:t xml:space="preserve">11.01.2018</w:t>
      </w:r>
    </w:p>
    <w:p>
      <w:pPr>
        <w:pStyle w:val="BodyText"/>
      </w:pPr>
      <w:r>
        <w:drawing>
          <wp:inline>
            <wp:extent cx="5334000" cy="76072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83d/organy-_osushchestvlyayushchie-zashchitu-prav-nesovershennoletnik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072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http://moskvoreche-saburovo.mos.ru/the-commission-on-affairs-of-minors-and-protection-of-their-rights/detail/7081753.html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70817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70817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2025-05-03T15:16:44Z</dcterms:created>
  <dcterms:modified xsi:type="dcterms:W3CDTF">2025-05-03T15:16:44Z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