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в-вашем-доме-наркопритон-что-делать"/>
    <w:p>
      <w:pPr>
        <w:pStyle w:val="Heading3"/>
      </w:pPr>
      <w:r>
        <w:t xml:space="preserve">Если в Вашем доме наркопритон, что делать?</w:t>
      </w:r>
    </w:p>
    <w:p>
      <w:pPr>
        <w:pStyle w:val="FirstParagraph"/>
      </w:pPr>
      <w:r>
        <w:t xml:space="preserve">15.10.2015</w:t>
      </w:r>
    </w:p>
    <w:p>
      <w:pPr>
        <w:pStyle w:val="BodyText"/>
      </w:pPr>
      <w:r>
        <w:t xml:space="preserve">Как понять, что в Вашем доме организован наркопритон? Как себя обезопасить и куда обращаться? Чтобы разобраться в этой проблеме и ответить на вопросы, Вам нужно соблюдать простые правила и обращать внимание на совершенно простые, но очень важные вещи:...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http://moskvoreche-saburovo.mos.ru/the-commission-on-affairs-of-minors-and-protection-of-their-rights/detail/2229401.html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29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29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2025-05-03T15:16:52Z</dcterms:created>
  <dcterms:modified xsi:type="dcterms:W3CDTF">2025-05-03T15:16:52Z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