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a1c67cceeb796d115b2eae0de1ec696dc838d1"/>
    <w:p>
      <w:pPr>
        <w:pStyle w:val="Heading3"/>
      </w:pPr>
      <w:r>
        <w:t xml:space="preserve">Методические рекомендации по профилактике наркомании для семьи с детьми 7-11 лет</w:t>
      </w:r>
    </w:p>
    <w:p>
      <w:pPr>
        <w:pStyle w:val="FirstParagraph"/>
      </w:pPr>
      <w:r>
        <w:t xml:space="preserve">02.06.2021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http://moskvoreche-saburovo.mos.ru/the-commission-on-affairs-of-minors-and-protection-of-their-rights/detail/10000839.html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detail/100008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detail/100008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2025-02-14T08:07:56Z</dcterms:created>
  <dcterms:modified xsi:type="dcterms:W3CDTF">2025-02-14T08:07:56Z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