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854a72d252f7d48bed161887dc12672b065146"/>
    <w:p>
      <w:pPr>
        <w:pStyle w:val="Heading3"/>
      </w:pPr>
      <w:r>
        <w:t xml:space="preserve">Каждый пятый «активный гражданин» выбрал для своих детей кружки технической направленности</w:t>
      </w:r>
    </w:p>
    <w:p>
      <w:pPr>
        <w:pStyle w:val="FirstParagraph"/>
      </w:pPr>
      <w:r>
        <w:t xml:space="preserve">03.10.2016</w:t>
      </w:r>
    </w:p>
    <w:p>
      <w:pPr>
        <w:pStyle w:val="BodyText"/>
      </w:pPr>
      <w:r>
        <w:drawing>
          <wp:inline>
            <wp:extent cx="5080000" cy="330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c3c/1828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Почти 22% родителей учащихся гимназии № 1527 проголосовали за появление в учреждении кружков технической направленности. Опрос прошел на площадке «Активного гражданина».</w:t>
      </w:r>
    </w:p>
    <w:p>
      <w:pPr>
        <w:pStyle w:val="BodyText"/>
      </w:pPr>
      <w:r>
        <w:t xml:space="preserve">В результате 21,85% респондентов поддержали открытие таких секций, как робототехника и авиамоделирование, по 16,59% хотят отдать своих детей в кружки астрономии, физики, математики и биологии, вокала и хореографии, а 14,75% жителей считают приоритетными занятия туристско-краеведческой направленности: различных видов туризма, наблюдений и исследований природы родного края.</w:t>
      </w:r>
    </w:p>
    <w:p>
      <w:pPr>
        <w:pStyle w:val="BodyText"/>
      </w:pPr>
      <w:r>
        <w:t xml:space="preserve">Кроме того, 13,82% родителей планируют записать учеников в секции социально-педагогической направленности — основы психологии, права и языкознания, а 13,59% опрошенных приветствуют появление в школе дополнительных занятий по лечебной физкультуре, общей физической подготовке и различным видам 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http://moskvoreche-saburovo.mos.ru/presscenter/news/detail/3877172.html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38771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38771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2025-05-03T15:05:20Z</dcterms:created>
  <dcterms:modified xsi:type="dcterms:W3CDTF">2025-05-03T15:05:20Z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