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6a505b265e7c51856d4ab16b6b8725a9b3b3c"/>
    <w:p>
      <w:pPr>
        <w:pStyle w:val="Heading3"/>
      </w:pPr>
      <w:r>
        <w:t xml:space="preserve">Назначение страховых пенсий по инвалидности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Пенсионный фонд Российской Федерации является одним из главных государственных институтов страны, осуществляющих социальное и пенсионное обеспечение инвалидов. По Отделению ПФР по г. Москве и Московской области выплаты в связи с инвалидностью получают более 1,5 млн. человек. </w:t>
      </w:r>
    </w:p>
    <w:p>
      <w:pPr>
        <w:pStyle w:val="BodyText"/>
      </w:pPr>
      <w:r>
        <w:t xml:space="preserve">В соответствии с законодательством, основными видами выплат в связи с инвалидностью являются: страховые пенсии по инвалидности, ежемесячная денежная выплата, набор социальных услуг, суммы которых ежегодно индексируются.</w:t>
      </w:r>
    </w:p>
    <w:p>
      <w:pPr>
        <w:pStyle w:val="BodyText"/>
      </w:pPr>
      <w:r>
        <w:t xml:space="preserve">Для назначения пенсии по инвалидности необходимо подать заявление в территориальный орган Пенсионного фонда и предоставить документы: паспорт, трудовую книжку (либо документы, подтверждающие трудовой стаж), документы, подтверждающие установление инвалидности и группу инвалидности. Если же гражданин не имеет трудового стажа, то ему выплачивается социальная пенсия по инвалидности.</w:t>
      </w:r>
    </w:p>
    <w:p>
      <w:pPr>
        <w:pStyle w:val="BodyText"/>
      </w:pPr>
      <w:r>
        <w:t xml:space="preserve">Инвалиды как льготная категории граждан имеют право на получение набора социальных услуг, который включает в себя обеспечение необходимыми медикаментами, путевку на санаторно-курортное лечение и стоимость проезда к месту лечения и обратно. В то же время гражданин может отказаться от набора социальных услуг полностью или частично и сделать выбор в пользу денежной компенсации – в текущем году эта сумма составляет 881 рубль. </w:t>
      </w:r>
    </w:p>
    <w:p>
      <w:pPr>
        <w:pStyle w:val="BodyText"/>
      </w:pPr>
      <w:r>
        <w:t xml:space="preserve">В случае полной или частичной замены набора социальных услуг гражданин должен до 1 октября текущего года подать заявление в территориальный орган Пенсионного фонда, тогда с 1 января следующего года он сможет получать выбранный вариант социальных услуг.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http://moskvoreche-saburovo.mos.ru/presscenter/news/detail/1692294.html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692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