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007440f643fbeab010e94e73dbf53df897ede"/>
    <w:p>
      <w:pPr>
        <w:pStyle w:val="Heading3"/>
      </w:pPr>
      <w:r>
        <w:t xml:space="preserve">Собственникам 310 домов город окажет помощь при выборе варианта накопления средств на капремонт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t xml:space="preserve">Столичные власти окажут консультационную помощь в выборе варианта накопления средств на капремонт собственникам 310 домов, активно участвовавшим в голосовании на портале «Активный гражданин».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Москвы опубликован список. В него вошли 310 домов</w:t>
        </w:r>
      </w:hyperlink>
      <w:r>
        <w:t xml:space="preserve">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капремонт. Опрос прошел в августе. В нем приняли участие 147 553 жителей Москвы. Из них 26,56% (39 190человек)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будут приглашены на встречу,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http://moskvoreche-saburovo.mos.ru/overhaul/detail/4283203.html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verhaul/detail/4283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verhaul/detail/4283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2025-05-03T15:03:26Z</dcterms:created>
  <dcterms:modified xsi:type="dcterms:W3CDTF">2025-05-03T15:03:26Z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