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6a7ba81aaef49e7374adc83384e20cd6a49609"/>
    <w:p>
      <w:pPr>
        <w:pStyle w:val="Heading3"/>
      </w:pPr>
      <w:r>
        <w:t xml:space="preserve">«Активный гражданин» по теме:«Спецсчет для Вашего дома. Кому поможет город?»</w:t>
      </w:r>
    </w:p>
    <w:p>
      <w:pPr>
        <w:pStyle w:val="FirstParagraph"/>
      </w:pPr>
      <w:r>
        <w:t xml:space="preserve">17.03.2016</w:t>
      </w:r>
    </w:p>
    <w:p>
      <w:pPr>
        <w:pStyle w:val="BodyText"/>
      </w:pPr>
      <w:r>
        <w:t xml:space="preserve">Москва с 2015 года перешла на новую систему финансирования капитального ремонта. Региональная программа капитального ремонта – это стратегический план долговременного и непрерывного улучшения жилья. Она поможет обеспечить высокое качество жизни горожан, поможет городу достичь высоких стандартов содержания домов и улиц, к которым стремятся и которыми хотят гордится москвичи.</w:t>
      </w:r>
    </w:p>
    <w:p>
      <w:pPr>
        <w:pStyle w:val="BodyText"/>
      </w:pPr>
      <w:r>
        <w:t xml:space="preserve">Теперь собственники квартир при помощи взносов сами формируют фонд, за счет которого и будет впоследствии ремонтироваться их дом. Согласно федеральному законодательству (Гражданскому кодексу РФ и Жилищному кодексу РФ) бремя расходов по надлежащему содержанию многоквартирного дома (в т.ч. его капитальный ремонт) несут сами собственники помещений в доме. </w:t>
      </w:r>
    </w:p>
    <w:p>
      <w:pPr>
        <w:pStyle w:val="BodyText"/>
      </w:pPr>
      <w:r>
        <w:t xml:space="preserve">(более подробную информацию см. в приложении)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http://moskvoreche-saburovo.mos.ru/overhaul/detail/2608558.html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verhaul/detail/26085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verhaul/detail/26085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2025-05-03T15:03:11Z</dcterms:created>
  <dcterms:modified xsi:type="dcterms:W3CDTF">2025-05-03T15:03:11Z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