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537a2300b6a236c50a5368e09c9196ea6cbdf"/>
    <w:p>
      <w:pPr>
        <w:pStyle w:val="Heading3"/>
      </w:pPr>
      <w:r>
        <w:t xml:space="preserve">Мемориально-патронатная Акция по уходу за памятниками, мемориальными досками, памятными знаками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19 февраля 2021 года состоялась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посвящённой Дню защитника Отечества и Дню памяти о россиянах, исполнявших служебный долг за пределами Отечества.</w:t>
      </w:r>
    </w:p>
    <w:p>
      <w:pPr>
        <w:pStyle w:val="BodyText"/>
      </w:pPr>
      <w:r>
        <w:t xml:space="preserve">В Акции приняли участие депутат Московской городской Думы Самышина Елена Александровна, глава муниципального округа Заусаева Наталья Васильевна , депутат муниципального округа Архипова Елена Александровна , сотрудники ГБУ «Вертикаль», сотрудники управы района Москворечье-Сабурово и члены молодёжной палаты района Москворечье-Сабурово.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http://moskvoreche-saburovo.mos.ru/organization-of-recreational-social-and-educational-sports-and-recreational-and-sports-work-with-the/detail/9744849.html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74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74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2025-05-03T15:09:21Z</dcterms:created>
  <dcterms:modified xsi:type="dcterms:W3CDTF">2025-05-03T15:09:21Z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