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0678d7a3a6a612c2a154d51eadce181fc66f1"/>
    <w:p>
      <w:pPr>
        <w:pStyle w:val="Heading3"/>
      </w:pPr>
      <w:r>
        <w:t xml:space="preserve">Расписание работы кружков и секций на катках с искусственным льдом в зимний период 2018-2019 годов</w:t>
      </w:r>
    </w:p>
    <w:p>
      <w:pPr>
        <w:pStyle w:val="FirstParagraph"/>
      </w:pPr>
      <w:r>
        <w:t xml:space="preserve">18.12.2018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Расписание работы кружков и секций на катках с искусственным льдом</w:t>
      </w:r>
    </w:p>
    <w:p>
      <w:pPr>
        <w:pStyle w:val="BodyText"/>
      </w:pPr>
      <w:r>
        <w:rPr>
          <w:bCs/>
          <w:b/>
        </w:rPr>
        <w:t xml:space="preserve">в зимний период 2018-2019 годов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Москворечье-Сабурово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Адрес: Борисовские пруды, вл.2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Хоккей с шайбой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Секция по хоккею (взрослые) МДХЛ (ответственные ГБУ ЦФКиС ЮАО г. Москвы – Давыдов П.С., Федорков А.А.)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11 30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Технический перерыв</w:t>
            </w:r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Секция по хоккею (взрослые) «Ночной хоккейной лиги»</w:t>
            </w:r>
          </w:p>
          <w:p>
            <w:pPr>
              <w:jc w:val="left"/>
            </w:pPr>
            <w:r>
              <w:t xml:space="preserve">(ответственные ГБУ ЦФКиС ЮАО г. Москвы – Давыдов П.С., Федорков А.А.)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В соответствии с утвержденным квартальным планом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Турниры, мероприятия (районные, окружные, городские)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http://moskvoreche-saburovo.mos.ru/organization-of-recreational-social-and-educational-sports-and-recreational-and-sports-work-with-the/detail/7772967.html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772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772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2025-05-03T15:11:07Z</dcterms:created>
  <dcterms:modified xsi:type="dcterms:W3CDTF">2025-05-03T15:11:07Z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