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c086b9aed42334ad12be6cd766cf8e422e341"/>
    <w:p>
      <w:pPr>
        <w:pStyle w:val="Heading3"/>
      </w:pPr>
      <w:r>
        <w:t xml:space="preserve">12.03.2018 проведена концертная программа академического хора ветеранов «Москворечье», посвященная 100-летию возвращения городу Москве статуса столицы.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12.03.2018 в «Творческом центре «Москворечье» по адресу: Каширское шоссе, д. 52 проведена концертная программа академического хора ветеранов «Москворечье», посвященная 100-летию возвращения городу Москве статуса столицы. Это познавательно-развлекательное событие заставило еще раз задуматься об истории столицы, заслушаться прекрасными знакомыми и незнакомыми песнями о ней и полюбить ее еще сильней! </w:t>
      </w:r>
    </w:p>
    <w:p>
      <w:pPr>
        <w:pStyle w:val="BodyText"/>
      </w:pPr>
      <w:r>
        <w:drawing>
          <wp:inline>
            <wp:extent cx="5334000" cy="75375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cf/12.03-moskvorec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http://moskvoreche-saburovo.mos.ru/organization-of-recreational-social-and-educational-sports-and-recreational-and-sports-work-with-the/detail/7237203.html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