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ec89c6d553d178220cb3a6e24188771c0e534"/>
    <w:p>
      <w:pPr>
        <w:pStyle w:val="Heading3"/>
      </w:pPr>
      <w:r>
        <w:t xml:space="preserve">Расписание работы кружков и секций на катке с искусственным льдом по адресу: Борисовские пруды, вл.2 в зимний период 2023-2024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bCs/>
          <w:b/>
        </w:rPr>
        <w:t xml:space="preserve">Расписание работы кружков и секций на катках с искусственным льдом</w:t>
      </w:r>
    </w:p>
    <w:p>
      <w:pPr>
        <w:pStyle w:val="BodyText"/>
      </w:pPr>
      <w:r>
        <w:rPr>
          <w:bCs/>
          <w:b/>
        </w:rPr>
        <w:t xml:space="preserve">в зимний период 2023-2024 годов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Адрес: Борисовские пруды, вл.2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Хоккей с шайбой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Секция по хоккею (взрослые) «Ночной хоккейной лиги»»</w:t>
            </w:r>
          </w:p>
          <w:p>
            <w:pPr>
              <w:jc w:val="left"/>
            </w:pPr>
            <w:r>
              <w:t xml:space="preserve">(ответственные-инструкторы по спорту Управления по развитию массового спорта в ЮАО г.Москвы ГБУ «МОСГОРСПОРТ»)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11 30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Технический перерыв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Технический перерыв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Технический перерыв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20.00-</w:t>
            </w:r>
          </w:p>
          <w:p>
            <w:pPr>
              <w:jc w:val="left"/>
            </w:pPr>
            <w:r>
              <w:t xml:space="preserve">22.00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Секция по хоккею (взрослые) «Ночной хоккейной лиги»»</w:t>
            </w:r>
          </w:p>
          <w:p>
            <w:pPr>
              <w:jc w:val="left"/>
            </w:pPr>
            <w:r>
              <w:t xml:space="preserve">(ответственные-инструкторы по спорту Управления по развитию массового спорта в ЮАО г.Москвы ГБУ «МОСГОРСПОРТ»)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Турниры, мероприятия (районные, окружные, городские) проводятся  в соответствии с утвержденным квартальным планом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Внеплановая заливка и уборка льда осуществляется в зависимости от погодных условий и состояния ледового покрытия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http://moskvoreche-saburovo.mos.ru/organization-of-recreational-social-and-educational-sports-and-recreational-and-sports-work-with-the/detail/12027017.html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7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7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