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51284d74bd492fadffbd3f27ac1df6844624f5"/>
    <w:p>
      <w:pPr>
        <w:pStyle w:val="Heading3"/>
      </w:pPr>
      <w:r>
        <w:t xml:space="preserve">Об Организация бесплатных секций по плаванию в спортивном комплексе «Волна».</w:t>
      </w:r>
    </w:p>
    <w:p>
      <w:pPr>
        <w:pStyle w:val="FirstParagraph"/>
      </w:pPr>
      <w:r>
        <w:t xml:space="preserve">01.02.2023</w:t>
      </w:r>
    </w:p>
    <w:p>
      <w:pPr>
        <w:pStyle w:val="BodyText"/>
      </w:pPr>
      <w:r>
        <w:drawing>
          <wp:inline>
            <wp:extent cx="5334000" cy="33962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bb/zw29krtb04y35qgqaqd1zzbqrjcxep2j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19402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64/es3t5o2334m6ipvxfw370hjnuet3xref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94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http://moskvoreche-saburovo.mos.ru/organization-of-recreational-social-and-educational-sports-and-recreational-and-sports-work-with-the/detail/11380714.html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11380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11380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2025-05-03T15:11:11Z</dcterms:created>
  <dcterms:modified xsi:type="dcterms:W3CDTF">2025-05-03T15:11:11Z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