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ea12f25634b55ea200fc8598f6ea378a206af"/>
    <w:p>
      <w:pPr>
        <w:pStyle w:val="Heading3"/>
      </w:pPr>
      <w:r>
        <w:t xml:space="preserve">Распоряжение Префектуры 01-10-536 от 22.11.2022 "Об организации отдыха населения в зимний период 2022-2023 годов на территории Южного административного округа города Москвы"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http://moskvoreche-saburovo.mos.ru/organization-of-recreational-social-and-educational-sports-and-recreational-and-sports-work-with-the/detail/11259466.html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25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25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2025-05-03T15:11:17Z</dcterms:created>
  <dcterms:modified xsi:type="dcterms:W3CDTF">2025-05-03T15:11:17Z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