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как-получить-вычет-за-обучение"/>
    <w:p>
      <w:pPr>
        <w:pStyle w:val="Heading3"/>
      </w:pPr>
      <w:r>
        <w:t xml:space="preserve">Как получить вычет за обучение</w:t>
      </w:r>
    </w:p>
    <w:p>
      <w:pPr>
        <w:pStyle w:val="FirstParagraph"/>
      </w:pPr>
      <w:r>
        <w:t xml:space="preserve">25.03.2025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http://moskvoreche-saburovo.mos.ru/law-and-order/detail/12874886.html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Москворечье-Сабурово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moskvoreche-saburovo.mos.ru" TargetMode="External" /><Relationship Type="http://schemas.openxmlformats.org/officeDocument/2006/relationships/hyperlink" Id="rId20" Target="http://moskvoreche-saburovo.mos.ru/law-and-order/detail/12874886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moskvoreche-saburovo.mos.ru" TargetMode="External" /><Relationship Type="http://schemas.openxmlformats.org/officeDocument/2006/relationships/hyperlink" Id="rId20" Target="http://moskvoreche-saburovo.mos.ru/law-and-order/detail/12874886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2025-05-15T20:01:43Z</dcterms:created>
  <dcterms:modified xsi:type="dcterms:W3CDTF">2025-05-15T20:01:43Z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