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f6475088911f813df1d8af1a4751cef0a5b6857"/>
    <w:p>
      <w:pPr>
        <w:pStyle w:val="Heading3"/>
      </w:pPr>
      <w:r>
        <w:t xml:space="preserve">Как получить имущественный налоговый вычет в связи с расходами на новое строительство либо приобретение недвижимого имущества</w:t>
      </w:r>
    </w:p>
    <w:p>
      <w:pPr>
        <w:pStyle w:val="FirstParagraph"/>
      </w:pPr>
      <w:r>
        <w:t xml:space="preserve">25.03.2025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http://moskvoreche-saburovo.mos.ru/law-and-order/detail/12874882.html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Москворечье-Сабурово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oskvoreche-saburovo.mos.ru" TargetMode="External" /><Relationship Type="http://schemas.openxmlformats.org/officeDocument/2006/relationships/hyperlink" Id="rId20" Target="http://moskvoreche-saburovo.mos.ru/law-and-order/detail/1287488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oskvoreche-saburovo.mos.ru" TargetMode="External" /><Relationship Type="http://schemas.openxmlformats.org/officeDocument/2006/relationships/hyperlink" Id="rId20" Target="http://moskvoreche-saburovo.mos.ru/law-and-order/detail/1287488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2025-05-06T20:53:20Z</dcterms:created>
  <dcterms:modified xsi:type="dcterms:W3CDTF">2025-05-06T20:53:20Z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