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a894d83e304ea63620dfc498b0fde30565eda"/>
    <w:p>
      <w:pPr>
        <w:pStyle w:val="Heading3"/>
      </w:pPr>
      <w:r>
        <w:t xml:space="preserve">Как предоставляется льгота по налогу на имущество организаций юридическим лицам</w:t>
      </w:r>
    </w:p>
    <w:p>
      <w:pPr>
        <w:pStyle w:val="FirstParagraph"/>
      </w:pPr>
      <w:r>
        <w:t xml:space="preserve">28.01.2025</w:t>
      </w:r>
    </w:p>
    <w:p>
      <w:pPr>
        <w:pStyle w:val="BodyText"/>
      </w:pPr>
      <w:r>
        <w:t xml:space="preserve">В I квартале 2025 года налоговые органы проведут массовый расчет транспортного, земельного налогов и налога на имущество организаций (для объектов, налоговая база по которым определяется по кадастровой стоимости) за 2024 год. После расчета организациям направят сообщения об исчисленных налогах, которые затем отразятся на ЕНС.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Российские организации, имеющие право на льготы по имущественным налогам юридических лиц, могут направить в налоговый орган заявление налогоплательщика о предоставлении налоговой льготы по формам КНД 1150121 (налог на имущество организаций), 1150064 (транспортный и земельный налоги).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то при наличии у налогового органа достаточных сведений, налоговая льгота будет предоставлена в проактивном (беззаявительном) порядке.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 кодексом Российской Федерации не установлен, поэтому заявление о представлении налоговой льготы за налоговый период 2024 года организации целесообразно представить в течение I квартала 2025 года, что позволит налоговому органу безошибочно произвести расчет налогов.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http://moskvoreche-saburovo.mos.ru/law-and-order/detail/12781122.html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7811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law-and-order/detail/127811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2025-05-15T08:29:38Z</dcterms:created>
  <dcterms:modified xsi:type="dcterms:W3CDTF">2025-05-15T08:29:38Z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