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1e4e6072e76c3c006e8e5547304e4e73dd84fb"/>
    <w:p>
      <w:pPr>
        <w:pStyle w:val="Heading3"/>
      </w:pPr>
      <w:r>
        <w:t xml:space="preserve">Могут ли списать в 2024 году средства с ЕНС индивидуального предпринимателя, в счет уплаты имущественных налогов физического лица?</w:t>
      </w:r>
    </w:p>
    <w:p>
      <w:pPr>
        <w:pStyle w:val="FirstParagraph"/>
      </w:pPr>
      <w:r>
        <w:t xml:space="preserve">05.12.2024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04.12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http://moskvoreche-saburovo.mos.ru/law-and-order/detail/12703077.html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7030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7030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2025-05-03T15:12:23Z</dcterms:created>
  <dcterms:modified xsi:type="dcterms:W3CDTF">2025-05-03T15:12:23Z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