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3ae4c733174f2f1a32227df1ceedf7062a6b86"/>
    <w:p>
      <w:pPr>
        <w:pStyle w:val="Heading3"/>
      </w:pPr>
      <w:r>
        <w:t xml:space="preserve">Каким образом можно осуществить зачет суммы переплаты (положительного сальдо) в счет исполнения обязанности другого лица?</w:t>
      </w:r>
    </w:p>
    <w:p>
      <w:pPr>
        <w:pStyle w:val="FirstParagraph"/>
      </w:pPr>
      <w:r>
        <w:t xml:space="preserve">27.11.2024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2711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http://moskvoreche-saburovo.mos.ru/law-and-order/detail/12689604.html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6896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6896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2025-05-03T15:12:25Z</dcterms:created>
  <dcterms:modified xsi:type="dcterms:W3CDTF">2025-05-03T15:12:25Z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