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c2ba1a56c5111e9dea8d06e832e9f58547119a"/>
    <w:p>
      <w:pPr>
        <w:pStyle w:val="Heading3"/>
      </w:pPr>
      <w:r>
        <w:t xml:space="preserve">Может ли на едином налоговом счете (ЕНС) быть одновременно и недоимка, и переплата по разным КБК?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29.07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http://moskvoreche-saburovo.mos.ru/law-and-order/detail/12497461.html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974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974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2025-08-01T03:43:48Z</dcterms:created>
  <dcterms:modified xsi:type="dcterms:W3CDTF">2025-08-01T03:43:48Z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