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35182940745ad857c5ae189277ecfc5e23db23"/>
    <w:p>
      <w:pPr>
        <w:pStyle w:val="Heading3"/>
      </w:pPr>
      <w:r>
        <w:t xml:space="preserve">Какой порядок и сроки зачета суммы положительного сальдо (переплаты) единого налогового счета (ЕНС)?</w:t>
      </w:r>
    </w:p>
    <w:p>
      <w:pPr>
        <w:pStyle w:val="FirstParagraph"/>
      </w:pPr>
      <w:r>
        <w:t xml:space="preserve">03.06.2024</w:t>
      </w:r>
    </w:p>
    <w:p>
      <w:pPr>
        <w:pStyle w:val="BodyText"/>
      </w:pPr>
      <w:r>
        <w:drawing>
          <wp:inline>
            <wp:extent cx="5334000" cy="770466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_local/03.06.202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04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http://moskvoreche-saburovo.mos.ru/law-and-order/detail/12401890.html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law-and-order/detail/124018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law-and-order/detail/124018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2025-05-10T00:27:58Z</dcterms:created>
  <dcterms:modified xsi:type="dcterms:W3CDTF">2025-05-10T00:27:58Z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