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75e2ea66287897392443a6f8f57e59a8479414"/>
    <w:p>
      <w:pPr>
        <w:pStyle w:val="Heading3"/>
      </w:pPr>
      <w:r>
        <w:t xml:space="preserve">2 мая истекает единый срок уплаты авансовых платежей по налогам на имущество организаций за I квартал</w:t>
      </w:r>
    </w:p>
    <w:p>
      <w:pPr>
        <w:pStyle w:val="FirstParagraph"/>
      </w:pPr>
      <w:r>
        <w:t xml:space="preserve">24.04.2024</w:t>
      </w:r>
    </w:p>
    <w:p>
      <w:pPr>
        <w:pStyle w:val="BodyText"/>
      </w:pPr>
      <w:r>
        <w:drawing>
          <wp:inline>
            <wp:extent cx="5334000" cy="770466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_local/25.04.202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04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http://moskvoreche-saburovo.mos.ru/law-and-order/detail/12337917.html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law-and-order/detail/123379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law-and-order/detail/123379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2025-05-03T15:14:57Z</dcterms:created>
  <dcterms:modified xsi:type="dcterms:W3CDTF">2025-05-03T15:14:57Z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