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6ac380d41dc0759d12490fd28e7778e5aa72a"/>
    <w:p>
      <w:pPr>
        <w:pStyle w:val="Heading3"/>
      </w:pPr>
      <w:r>
        <w:t xml:space="preserve">С 01 ноября 2017 года начал функционировать каток с искусственным покрытием по адресу: Борисовские пруды, ул.,вл.2 зона отдыха "Борисовские пруды"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d9/katok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http://moskvoreche-saburovo.mos.ru/documents/information/detail/7001338.html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001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001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2025-05-10T22:42:08Z</dcterms:created>
  <dcterms:modified xsi:type="dcterms:W3CDTF">2025-05-10T22:42:08Z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