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21bb692481ef542a714aac965c87199ee42942"/>
    <w:p>
      <w:pPr>
        <w:pStyle w:val="Heading3"/>
      </w:pPr>
      <w:r>
        <w:t xml:space="preserve">«Об итогах работы с письмами и обращения граждан за 2014 год»</w:t>
      </w:r>
    </w:p>
    <w:p>
      <w:pPr>
        <w:pStyle w:val="FirstParagraph"/>
      </w:pPr>
      <w:r>
        <w:t xml:space="preserve">22.01.2015</w:t>
      </w:r>
    </w:p>
    <w:p>
      <w:pPr>
        <w:pStyle w:val="BodyText"/>
      </w:pPr>
      <w:r>
        <w:t xml:space="preserve">В управу района Москворечье-Сабурово за 2014 год поступило</w:t>
      </w:r>
      <w:r>
        <w:t xml:space="preserve"> </w:t>
      </w:r>
      <w:r>
        <w:rPr>
          <w:bCs/>
          <w:b/>
        </w:rPr>
        <w:t xml:space="preserve">2347</w:t>
      </w:r>
      <w:r>
        <w:t xml:space="preserve"> </w:t>
      </w:r>
      <w:r>
        <w:t xml:space="preserve">обращений граждан по различным каналам связи, из которых  </w:t>
      </w:r>
      <w:r>
        <w:rPr>
          <w:bCs/>
          <w:b/>
        </w:rPr>
        <w:t xml:space="preserve">712</w:t>
      </w:r>
      <w:r>
        <w:t xml:space="preserve"> </w:t>
      </w:r>
      <w:r>
        <w:t xml:space="preserve">– напрямую от жителей письменных обращений; на официальный сайт управы</w:t>
      </w:r>
      <w:r>
        <w:t xml:space="preserve"> </w:t>
      </w:r>
      <w:r>
        <w:rPr>
          <w:bCs/>
          <w:b/>
        </w:rPr>
        <w:t xml:space="preserve">– 324</w:t>
      </w:r>
      <w:r>
        <w:t xml:space="preserve">; в приемную –</w:t>
      </w:r>
      <w:r>
        <w:t xml:space="preserve"> </w:t>
      </w:r>
      <w:r>
        <w:rPr>
          <w:bCs/>
          <w:b/>
        </w:rPr>
        <w:t xml:space="preserve">142.</w:t>
      </w:r>
      <w:r>
        <w:t xml:space="preserve"> </w:t>
      </w:r>
      <w:r>
        <w:t xml:space="preserve">Следует отметить, что от общего количества поступивших письменных обращений  граждан</w:t>
      </w:r>
      <w:r>
        <w:t xml:space="preserve"> </w:t>
      </w:r>
      <w:r>
        <w:rPr>
          <w:bCs/>
          <w:b/>
        </w:rPr>
        <w:t xml:space="preserve">1108  </w:t>
      </w:r>
      <w:r>
        <w:t xml:space="preserve">направлено из вышестоящих организаций, что составляет</w:t>
      </w:r>
      <w:r>
        <w:t xml:space="preserve"> </w:t>
      </w:r>
      <w:r>
        <w:rPr>
          <w:bCs/>
          <w:b/>
        </w:rPr>
        <w:t xml:space="preserve">47%.</w:t>
      </w:r>
    </w:p>
    <w:p>
      <w:pPr>
        <w:pStyle w:val="BodyText"/>
      </w:pPr>
      <w:r>
        <w:t xml:space="preserve">Объем обращений по сравнению с аналогичным периодом 2013 года увеличился на</w:t>
      </w:r>
      <w:r>
        <w:t xml:space="preserve"> </w:t>
      </w:r>
      <w:r>
        <w:rPr>
          <w:bCs/>
          <w:b/>
        </w:rPr>
        <w:t xml:space="preserve">11%</w:t>
      </w:r>
      <w:r>
        <w:t xml:space="preserve"> </w:t>
      </w:r>
      <w:r>
        <w:t xml:space="preserve">(</w:t>
      </w:r>
      <w:r>
        <w:rPr>
          <w:bCs/>
          <w:b/>
        </w:rPr>
        <w:t xml:space="preserve">2097</w:t>
      </w:r>
      <w:r>
        <w:t xml:space="preserve">).</w:t>
      </w:r>
    </w:p>
    <w:p>
      <w:pPr>
        <w:pStyle w:val="BodyText"/>
      </w:pPr>
      <w:r>
        <w:t xml:space="preserve">Наибольшее увеличение количества обращений граждан связано  с переносом абонентского отдела и паспортного стола МФЦ района по адресу: Пролетарский проспект, д.18, на отсутствие в районе ФОКов, содержания и эксплуатации жилищного фонда, благоустройства территории, транспорта, строительства и землепользования.</w:t>
      </w:r>
    </w:p>
    <w:p>
      <w:pPr>
        <w:pStyle w:val="BodyText"/>
      </w:pPr>
      <w:r>
        <w:t xml:space="preserve">Анализ обращений граждан показывает, что основными для жителей района продолжают оставаться вопросы, связанные с содержанием и эксплуатацией жилищного фонда и с плохой уборкой дворовой территории (за отчетный период их количество составило</w:t>
      </w:r>
      <w:r>
        <w:t xml:space="preserve"> </w:t>
      </w:r>
      <w:r>
        <w:rPr>
          <w:bCs/>
          <w:b/>
        </w:rPr>
        <w:t xml:space="preserve">59%</w:t>
      </w:r>
      <w:r>
        <w:t xml:space="preserve"> </w:t>
      </w:r>
      <w:r>
        <w:t xml:space="preserve">от общего числа обращений). 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Тематика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2014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%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содержание и эксплуатация жилищного фонда</w:t>
            </w:r>
          </w:p>
        </w:tc>
        <w:tc>
          <w:tcPr/>
          <w:p>
            <w:pPr>
              <w:jc w:val="left"/>
            </w:pPr>
            <w:r>
              <w:t xml:space="preserve">679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содержание территории и благоустройство</w:t>
            </w:r>
          </w:p>
        </w:tc>
        <w:tc>
          <w:tcPr/>
          <w:p>
            <w:pPr>
              <w:jc w:val="left"/>
            </w:pPr>
            <w:r>
              <w:t xml:space="preserve">696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гаражи и автостоянки</w:t>
            </w:r>
          </w:p>
        </w:tc>
        <w:tc>
          <w:tcPr/>
          <w:p>
            <w:pPr>
              <w:jc w:val="left"/>
            </w:pPr>
            <w:r>
              <w:t xml:space="preserve">227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приемной управы района за года</w:t>
      </w:r>
      <w:r>
        <w:t xml:space="preserve"> </w:t>
      </w:r>
      <w:r>
        <w:rPr>
          <w:bCs/>
          <w:b/>
        </w:rPr>
        <w:t xml:space="preserve">з</w:t>
      </w:r>
      <w:r>
        <w:t xml:space="preserve">арегистрировано</w:t>
      </w:r>
      <w:r>
        <w:t xml:space="preserve"> </w:t>
      </w:r>
      <w:r>
        <w:rPr>
          <w:bCs/>
          <w:b/>
        </w:rPr>
        <w:t xml:space="preserve">142</w:t>
      </w:r>
      <w:r>
        <w:t xml:space="preserve"> </w:t>
      </w:r>
      <w:r>
        <w:t xml:space="preserve">обращения ( в 2013 году –</w:t>
      </w:r>
      <w:r>
        <w:t xml:space="preserve"> </w:t>
      </w:r>
      <w:r>
        <w:rPr>
          <w:bCs/>
          <w:b/>
        </w:rPr>
        <w:t xml:space="preserve">136</w:t>
      </w:r>
      <w:r>
        <w:t xml:space="preserve">). Главой управы принято</w:t>
      </w:r>
      <w:r>
        <w:t xml:space="preserve"> </w:t>
      </w:r>
      <w:r>
        <w:rPr>
          <w:bCs/>
          <w:b/>
        </w:rPr>
        <w:t xml:space="preserve">142</w:t>
      </w:r>
      <w:r>
        <w:t xml:space="preserve"> </w:t>
      </w:r>
      <w:r>
        <w:t xml:space="preserve">гражданина.</w:t>
      </w:r>
      <w:r>
        <w:t xml:space="preserve"> </w:t>
      </w:r>
      <w:r>
        <w:rPr>
          <w:bCs/>
          <w:b/>
        </w:rPr>
        <w:t xml:space="preserve">99</w:t>
      </w:r>
      <w:r>
        <w:t xml:space="preserve"> </w:t>
      </w:r>
      <w:r>
        <w:t xml:space="preserve">человек принято заместителями главы управы,</w:t>
      </w:r>
      <w:r>
        <w:t xml:space="preserve"> </w:t>
      </w:r>
      <w:r>
        <w:rPr>
          <w:bCs/>
          <w:b/>
        </w:rPr>
        <w:t xml:space="preserve">32</w:t>
      </w:r>
      <w:r>
        <w:t xml:space="preserve"> </w:t>
      </w:r>
      <w:r>
        <w:t xml:space="preserve">– руководителем аппарата.</w:t>
      </w:r>
    </w:p>
    <w:p>
      <w:pPr>
        <w:pStyle w:val="BodyText"/>
      </w:pPr>
      <w:r>
        <w:t xml:space="preserve">Количество коллективных обращений за 2014 год составляет</w:t>
      </w:r>
      <w:r>
        <w:t xml:space="preserve"> </w:t>
      </w:r>
      <w:r>
        <w:rPr>
          <w:bCs/>
          <w:b/>
        </w:rPr>
        <w:t xml:space="preserve">32</w:t>
      </w:r>
      <w:r>
        <w:t xml:space="preserve">, количество повторных обращений –</w:t>
      </w:r>
      <w:r>
        <w:t xml:space="preserve"> </w:t>
      </w:r>
      <w:r>
        <w:rPr>
          <w:bCs/>
          <w:b/>
        </w:rPr>
        <w:t xml:space="preserve">29</w:t>
      </w:r>
      <w:r>
        <w:t xml:space="preserve">. Наибольшее количество повторных обращений  поступает от Бисиной Риммы Митрофановны, проживающей по адресу: Каширское шоссе д.32, к.3, кв. 166, тел: 499-320-5445.  По словам заявителя в её квартире происходит прорыв канализации. Бьет фонтан с одновременным выбросом мыльной пены через отверстие ванны.</w:t>
      </w:r>
    </w:p>
    <w:p>
      <w:pPr>
        <w:pStyle w:val="BodyText"/>
      </w:pPr>
      <w:r>
        <w:t xml:space="preserve">На дополнительный контроль поставлено</w:t>
      </w:r>
      <w:r>
        <w:t xml:space="preserve"> </w:t>
      </w:r>
      <w:r>
        <w:rPr>
          <w:bCs/>
          <w:b/>
        </w:rPr>
        <w:t xml:space="preserve">95</w:t>
      </w:r>
      <w:r>
        <w:t xml:space="preserve"> </w:t>
      </w:r>
      <w:r>
        <w:t xml:space="preserve">обращений. Наибольшее количество связано с тем, что вопросы будут рассмотрены при формировании плановых мероприятий на 2015 год и при выделении финансирования: установка оградительных элементов по адресам: ул. Москворечье, д.9, корп. 1, корп.2; д.11, д.13; д.17; д.4, корп.3, корп.5, корп.6; герметизация наружных межпанельных швов в панельном жилом доме по адресу: ул. Кантемировская, д.22, к.1, кВ.49; Восстановление газона по адресу: ул. Кантемировская, д.18, корп.2; Ремонт подъемной платформы для инвалидов по адресу: ул. Кантемировская, д.8, корп.1; Ремонт асфальтобетонного покрытия по адресу: ул. Кантемировская д. 4, корп.1.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РЕЗУЛЬТАТЫ РАССМОТРЕНИЯ ОБРАЩЕНИЙ ГРАЖДАН В УПРАВЕ РАЙОНА</w:t>
      </w:r>
    </w:p>
    <w:p>
      <w:pPr>
        <w:pStyle w:val="BodyText"/>
      </w:pPr>
      <w:r>
        <w:t xml:space="preserve">ЗА 2014 г. В СРАВНЕНИИ С 2013 г.</w:t>
      </w:r>
      <w:r>
        <w:br/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Содержание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2013/2014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Поступило обращений всего, в том числе:</w:t>
            </w:r>
          </w:p>
        </w:tc>
        <w:tc>
          <w:tcPr/>
          <w:p>
            <w:pPr>
              <w:jc w:val="left"/>
            </w:pPr>
            <w:r>
              <w:t xml:space="preserve">2097</w:t>
            </w:r>
          </w:p>
        </w:tc>
        <w:tc>
          <w:tcPr/>
          <w:p>
            <w:pPr>
              <w:jc w:val="left"/>
            </w:pPr>
            <w:r>
              <w:t xml:space="preserve">2347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Из Аппарата Мэра и Правительства Москвы и других структурных подразделений Правительства Москвы</w:t>
            </w:r>
          </w:p>
          <w:p>
            <w:pPr>
              <w:jc w:val="left"/>
            </w:pPr>
            <w:r>
              <w:t xml:space="preserve">(напрямую)</w:t>
            </w:r>
          </w:p>
        </w:tc>
        <w:tc>
          <w:tcPr/>
          <w:p>
            <w:pPr>
              <w:jc w:val="left"/>
            </w:pPr>
            <w:r>
              <w:t xml:space="preserve">53</w:t>
            </w:r>
          </w:p>
        </w:tc>
        <w:tc>
          <w:tcPr/>
          <w:p>
            <w:pPr>
              <w:jc w:val="left"/>
            </w:pPr>
            <w:r>
              <w:t xml:space="preserve">41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Из других организаций (прокуратура, ГД, МГД, префектура и др.)</w:t>
            </w:r>
          </w:p>
        </w:tc>
        <w:tc>
          <w:tcPr/>
          <w:p>
            <w:pPr>
              <w:jc w:val="left"/>
            </w:pPr>
            <w:r>
              <w:t xml:space="preserve">978</w:t>
            </w:r>
          </w:p>
        </w:tc>
        <w:tc>
          <w:tcPr/>
          <w:p>
            <w:pPr>
              <w:jc w:val="left"/>
            </w:pPr>
            <w:r>
              <w:t xml:space="preserve">1067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Напрямую от жителей:</w:t>
            </w:r>
          </w:p>
        </w:tc>
        <w:tc>
          <w:tcPr/>
          <w:p>
            <w:pPr>
              <w:jc w:val="left"/>
            </w:pPr>
            <w:r>
              <w:t xml:space="preserve">1066</w:t>
            </w:r>
          </w:p>
        </w:tc>
        <w:tc>
          <w:tcPr/>
          <w:p>
            <w:pPr>
              <w:jc w:val="left"/>
            </w:pPr>
            <w:r>
              <w:t xml:space="preserve">1239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- письменные обращения</w:t>
            </w:r>
          </w:p>
        </w:tc>
        <w:tc>
          <w:tcPr/>
          <w:p>
            <w:pPr>
              <w:jc w:val="left"/>
            </w:pPr>
            <w:r>
              <w:t xml:space="preserve">705</w:t>
            </w:r>
          </w:p>
        </w:tc>
        <w:tc>
          <w:tcPr/>
          <w:p>
            <w:pPr>
              <w:jc w:val="left"/>
            </w:pPr>
            <w:r>
              <w:t xml:space="preserve">712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- на пейджер руководителя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- на сайт органа</w:t>
            </w:r>
          </w:p>
        </w:tc>
        <w:tc>
          <w:tcPr/>
          <w:p>
            <w:pPr>
              <w:jc w:val="left"/>
            </w:pPr>
            <w:r>
              <w:t xml:space="preserve">225</w:t>
            </w:r>
          </w:p>
        </w:tc>
        <w:tc>
          <w:tcPr/>
          <w:p>
            <w:pPr>
              <w:jc w:val="left"/>
            </w:pPr>
            <w:r>
              <w:t xml:space="preserve">324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- в приемную</w:t>
            </w:r>
          </w:p>
        </w:tc>
        <w:tc>
          <w:tcPr/>
          <w:p>
            <w:pPr>
              <w:jc w:val="left"/>
            </w:pPr>
            <w:r>
              <w:t xml:space="preserve">136</w:t>
            </w:r>
          </w:p>
        </w:tc>
        <w:tc>
          <w:tcPr/>
          <w:p>
            <w:pPr>
              <w:jc w:val="left"/>
            </w:pPr>
            <w:r>
              <w:t xml:space="preserve">142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Количество коллективных обращений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32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Количество повторных обращений</w:t>
            </w:r>
          </w:p>
        </w:tc>
        <w:tc>
          <w:tcPr/>
          <w:p>
            <w:pPr>
              <w:jc w:val="left"/>
            </w:pPr>
            <w:r>
              <w:t xml:space="preserve">17</w:t>
            </w:r>
          </w:p>
        </w:tc>
        <w:tc>
          <w:tcPr/>
          <w:p>
            <w:pPr>
              <w:jc w:val="left"/>
            </w:pPr>
            <w:r>
              <w:t xml:space="preserve">29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Выполнено в срок</w:t>
            </w:r>
          </w:p>
        </w:tc>
        <w:tc>
          <w:tcPr/>
          <w:p>
            <w:pPr>
              <w:jc w:val="left"/>
            </w:pPr>
            <w:r>
              <w:t xml:space="preserve">2097</w:t>
            </w:r>
          </w:p>
        </w:tc>
        <w:tc>
          <w:tcPr/>
          <w:p>
            <w:pPr>
              <w:jc w:val="left"/>
            </w:pPr>
            <w:r>
              <w:t xml:space="preserve">2347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Выполнено с нарушением срока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Рассмотрено комиссионно (на комиссии)</w:t>
            </w:r>
          </w:p>
        </w:tc>
        <w:tc>
          <w:tcPr/>
          <w:p>
            <w:pPr>
              <w:jc w:val="left"/>
            </w:pPr>
            <w:r>
              <w:t xml:space="preserve">205</w:t>
            </w:r>
          </w:p>
        </w:tc>
        <w:tc>
          <w:tcPr/>
          <w:p>
            <w:pPr>
              <w:jc w:val="left"/>
            </w:pPr>
            <w:r>
              <w:t xml:space="preserve">241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Рассмотрено с участием заявителя, с выездом на место</w:t>
            </w:r>
          </w:p>
        </w:tc>
        <w:tc>
          <w:tcPr/>
          <w:p>
            <w:pPr>
              <w:jc w:val="left"/>
            </w:pPr>
            <w:r>
              <w:t xml:space="preserve">47</w:t>
            </w:r>
          </w:p>
        </w:tc>
        <w:tc>
          <w:tcPr/>
          <w:p>
            <w:pPr>
              <w:jc w:val="left"/>
            </w:pPr>
            <w:r>
              <w:t xml:space="preserve">55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Решение вопроса: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2014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15.1</w:t>
            </w:r>
          </w:p>
        </w:tc>
        <w:tc>
          <w:tcPr/>
          <w:p>
            <w:pPr>
              <w:jc w:val="left"/>
            </w:pPr>
            <w:r>
              <w:t xml:space="preserve">- решен в установленный срок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1372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15.2</w:t>
            </w:r>
          </w:p>
        </w:tc>
        <w:tc>
          <w:tcPr/>
          <w:p>
            <w:pPr>
              <w:jc w:val="left"/>
            </w:pPr>
            <w:r>
              <w:t xml:space="preserve">- не решен, установлен новый срок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123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15.3</w:t>
            </w:r>
          </w:p>
        </w:tc>
        <w:tc>
          <w:tcPr/>
          <w:p>
            <w:pPr>
              <w:jc w:val="left"/>
            </w:pPr>
            <w:r>
              <w:t xml:space="preserve">- решен в продленный срок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48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15.4</w:t>
            </w:r>
          </w:p>
        </w:tc>
        <w:tc>
          <w:tcPr/>
          <w:p>
            <w:pPr>
              <w:jc w:val="left"/>
            </w:pPr>
            <w:r>
              <w:t xml:space="preserve">Вопрос не обоснован (разъяснено)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756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http://moskvoreche-saburovo.mos.ru/documents/information/detail/1531563.html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documents/information/detail/15315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documents/information/detail/15315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2025-05-15T16:33:06Z</dcterms:created>
  <dcterms:modified xsi:type="dcterms:W3CDTF">2025-05-15T16:33:06Z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