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98687571bd82880ce5f7d23763d7e82949e3e"/>
    <w:p>
      <w:pPr>
        <w:pStyle w:val="Heading3"/>
      </w:pPr>
      <w:r>
        <w:t xml:space="preserve">Информация о работе с обращениями граждан за I квартал 2014 года</w:t>
      </w:r>
    </w:p>
    <w:p>
      <w:pPr>
        <w:pStyle w:val="FirstParagraph"/>
      </w:pPr>
      <w:r>
        <w:t xml:space="preserve">14.04.2014</w:t>
      </w:r>
    </w:p>
    <w:p>
      <w:pPr>
        <w:pStyle w:val="BodyText"/>
      </w:pPr>
      <w:r>
        <w:t xml:space="preserve">Информация</w:t>
      </w:r>
    </w:p>
    <w:p>
      <w:pPr>
        <w:pStyle w:val="BodyText"/>
      </w:pPr>
      <w:r>
        <w:t xml:space="preserve">«Об итогах работы с письмами и обращения граждан в I квартале 2014 года»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управе района проанализированы итоги работы с обращениями граждан за 3 месяца 2014 года.</w:t>
      </w:r>
    </w:p>
    <w:p>
      <w:pPr>
        <w:pStyle w:val="BodyText"/>
      </w:pPr>
      <w:r>
        <w:t xml:space="preserve">Работа ведется в соответствии с Федеральным законом РФ от 02.05.2006 № 59-ФЗ «О порядке рассмотрения обращений граждан Российской Федерации, регламентами Правительства Москвы, префектуры ЮАО и регламентом управы района, утвержденным распоряжением управы района от 29.09.2009 № 01-05-212.</w:t>
      </w:r>
    </w:p>
    <w:p>
      <w:pPr>
        <w:pStyle w:val="BodyText"/>
      </w:pPr>
      <w:r>
        <w:t xml:space="preserve">За 3 месяца 2014 года в управу района поступило 589 обращений граждан по различным каналам связи: 444 - письменных обращений, на телефон «прямой связи» - 6, на официальный сайт управы – 71, в приемную - 30, на встречах с населением района – 38. </w:t>
      </w:r>
    </w:p>
    <w:p>
      <w:pPr>
        <w:pStyle w:val="BodyText"/>
      </w:pPr>
      <w:r>
        <w:t xml:space="preserve">За I квартал в управу района поступило 444 письменных обращений граждан.</w:t>
      </w:r>
    </w:p>
    <w:p>
      <w:pPr>
        <w:pStyle w:val="BodyText"/>
      </w:pPr>
      <w:r>
        <w:t xml:space="preserve">Количество обращений по сравнению с аналогичным периодом 2013 года увеличилось на 28,3% (в 2013 году -318). </w:t>
      </w:r>
    </w:p>
    <w:p>
      <w:pPr>
        <w:pStyle w:val="BodyText"/>
      </w:pPr>
      <w:r>
        <w:t xml:space="preserve">За 3 месяца 2014 года из вышестоящих организаций поступило 208 обращения граждан, что на 13,9% больше, чем в аналогичном периоде 2013 года – 179.</w:t>
      </w:r>
    </w:p>
    <w:p>
      <w:pPr>
        <w:pStyle w:val="BodyText"/>
      </w:pPr>
      <w:r>
        <w:t xml:space="preserve">За отчетный период 2014 года на официальный сайт управы поступило 71 обращение, что на 290,5% больше чем в 2013 году (50).</w:t>
      </w:r>
    </w:p>
    <w:p>
      <w:pPr>
        <w:pStyle w:val="BodyText"/>
      </w:pPr>
      <w:r>
        <w:t xml:space="preserve">В приемной управы района за I квартал зарегистрировано 30 обращений ( в 2013 году – 24). Главой управы принято 30 граждан. </w:t>
      </w:r>
    </w:p>
    <w:p>
      <w:pPr>
        <w:pStyle w:val="BodyText"/>
      </w:pPr>
      <w:r>
        <w:t xml:space="preserve">Количество коллективных обращений за 3 месяца 2014 года (51) увеличилось, по сравнению с аналогичным периодом 2013 года (25), на 50,9%. </w:t>
      </w:r>
    </w:p>
    <w:p>
      <w:pPr>
        <w:pStyle w:val="BodyText"/>
      </w:pPr>
      <w:r>
        <w:t xml:space="preserve">Основные вопросы, которые поднимают жители в своих обращениях, поступивших по различным каналам связи, касаются жилищно-коммунального хозяйства, благоустройства территории и расположения многофункционального центра предоставления государственных услуг (МФЦ) района Москворечье-Сабурово.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http://moskvoreche-saburovo.mos.ru/documents/information/detail/1003806.html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003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003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2025-05-03T15:08:39Z</dcterms:created>
  <dcterms:modified xsi:type="dcterms:W3CDTF">2025-05-03T15:08:39Z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