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2aeb9f3a1cfcc4e8963673270b7abdb7fc572"/>
    <w:p>
      <w:pPr>
        <w:pStyle w:val="Heading3"/>
      </w:pPr>
      <w:r>
        <w:t xml:space="preserve">Приказ №19 от 27 августа 2020 года "О внесении изменений в приказ управы от 22.09.2019 г. №2"</w:t>
      </w:r>
    </w:p>
    <w:p>
      <w:pPr>
        <w:pStyle w:val="FirstParagraph"/>
      </w:pPr>
      <w:r>
        <w:t xml:space="preserve">28.08.2020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http://moskvoreche-saburovo.mos.ru/documents/antitrust-compliance/detail/9178826.html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antitrust-compliance/detail/91788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antitrust-compliance/detail/91788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2025-05-03T15:04:16Z</dcterms:created>
  <dcterms:modified xsi:type="dcterms:W3CDTF">2025-05-03T15:04:16Z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