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418d83f6ca951fb6da128c0b0ee9feb8720c153"/>
    <w:p>
      <w:pPr>
        <w:pStyle w:val="Heading3"/>
      </w:pPr>
      <w:r>
        <w:t xml:space="preserve">ОСНОВНЫЕ ПОЛОЖЕНИЯ УЧЕТНОЙ ПОЛИТИКИ управы района Москворечье-Сабурово</w:t>
      </w:r>
    </w:p>
    <w:p>
      <w:pPr>
        <w:pStyle w:val="FirstParagraph"/>
      </w:pPr>
      <w:r>
        <w:t xml:space="preserve">18.02.2025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http://moskvoreche-saburovo.mos.ru/documents/antitrust-compliance/detail/12813313.html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81331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oskvoreche-saburovo.mos.ru" TargetMode="External" /><Relationship Type="http://schemas.openxmlformats.org/officeDocument/2006/relationships/hyperlink" Id="rId20" Target="http://moskvoreche-saburovo.mos.ru/documents/antitrust-compliance/detail/1281331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2025-05-03T15:04:05Z</dcterms:created>
  <dcterms:modified xsi:type="dcterms:W3CDTF">2025-05-03T15:04:05Z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