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122233a57c5d536b8031b26e98d870273c9e0"/>
    <w:p>
      <w:pPr>
        <w:pStyle w:val="Heading3"/>
      </w:pPr>
      <w:r>
        <w:t xml:space="preserve">Важная информация по антимонопольному комплаенсу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t xml:space="preserve">В связи с отсутствием у управы района Москворечье-Сабурово города Москвы полномочий по принятию нормативно-правовых актов, подлежащих анализу в рамках выявления рисков нарушения антимонопольного законодательства, информируем, что замечания и предложения по публикуемым на официальном сайте управы района правовым актам рассматриваются в порядке работы с обращениями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http://moskvoreche-saburovo.mos.ru/documents/antitrust-compliance/detail/11706148.html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706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1706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2025-05-03T15:04:10Z</dcterms:created>
  <dcterms:modified xsi:type="dcterms:W3CDTF">2025-05-03T15:04:10Z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