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62b1508443da9f60b421f6b83929578929f0b"/>
    <w:p>
      <w:pPr>
        <w:pStyle w:val="Heading3"/>
      </w:pPr>
      <w:r>
        <w:t xml:space="preserve">Распоряжение управы района от 29.05.2017 № 01-05-18</w:t>
      </w:r>
    </w:p>
    <w:p>
      <w:pPr>
        <w:pStyle w:val="FirstParagraph"/>
      </w:pPr>
      <w:r>
        <w:t xml:space="preserve">22.06.2017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http://moskvoreche-saburovo.mos.ru/anti-corruption/the-commission-on-observance-of-requirements-for-the-official-behaviour-of-state-civil-employees-of-/detail/6268373.html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the-commission-on-observance-of-requirements-for-the-official-behaviour-of-state-civil-employees-of-/detail/6268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the-commission-on-observance-of-requirements-for-the-official-behaviour-of-state-civil-employees-of-/detail/6268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2025-05-03T15:08:50Z</dcterms:created>
  <dcterms:modified xsi:type="dcterms:W3CDTF">2025-05-03T15:08:50Z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