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каз-от-26.03.2013-20-к"/>
    <w:p>
      <w:pPr>
        <w:pStyle w:val="Heading3"/>
      </w:pPr>
      <w:r>
        <w:t xml:space="preserve">Приказ от 26.03.2013 № 20-к</w:t>
      </w:r>
    </w:p>
    <w:p>
      <w:pPr>
        <w:pStyle w:val="FirstParagraph"/>
      </w:pPr>
      <w:r>
        <w:t xml:space="preserve">28.04.2014</w:t>
      </w:r>
    </w:p>
    <w:p>
      <w:pPr>
        <w:pStyle w:val="BodyText"/>
      </w:pPr>
      <w:r>
        <w:t xml:space="preserve">"О внесении изменений в состав и Положение Комиссии по соблюдению требований  к служебному поведению государственных  гражданских служащих управы района Москворечье-Сабурово города Москвы  и урегулированию конфликта интересов"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http://moskvoreche-saburovo.mos.ru/anti-corruption/the-commission-on-observance-of-requirements-for-the-official-behaviour-of-state-civil-employees-of-/detail/1018230.html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the-commission-on-observance-of-requirements-for-the-official-behaviour-of-state-civil-employees-of-/detail/1018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the-commission-on-observance-of-requirements-for-the-official-behaviour-of-state-civil-employees-of-/detail/1018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2025-05-03T15:08:51Z</dcterms:created>
  <dcterms:modified xsi:type="dcterms:W3CDTF">2025-05-03T15:08:51Z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