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bd99596b38526abb0b65ca32bc73d14e3b5b9c"/>
    <w:p>
      <w:pPr>
        <w:pStyle w:val="Heading3"/>
      </w:pPr>
      <w:r>
        <w:t xml:space="preserve">Распоряжение управы района от 26.02.2021 № 01-05-07</w:t>
      </w:r>
    </w:p>
    <w:p>
      <w:pPr>
        <w:pStyle w:val="FirstParagraph"/>
      </w:pPr>
      <w:r>
        <w:t xml:space="preserve">03.03.2021</w:t>
      </w:r>
    </w:p>
    <w:p>
      <w:pPr>
        <w:pStyle w:val="BodyText"/>
      </w:pPr>
      <w:r>
        <w:t xml:space="preserve">Об утверждении Плана противодействия коррупции на 2021-2023 годы.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http://moskvoreche-saburovo.mos.ru/anti-corruption/normative-legal-and-other-acts-in-the-field-of-combating-corruption/detail/9757660.html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anti-corruption/normative-legal-and-other-acts-in-the-field-of-combating-corruption/detail/97576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anti-corruption/normative-legal-and-other-acts-in-the-field-of-combating-corruption/detail/97576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2025-05-03T15:04:00Z</dcterms:created>
  <dcterms:modified xsi:type="dcterms:W3CDTF">2025-05-03T15:04:00Z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