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d0aaa33fcec2c0b83a15fd078301be84829659"/>
    <w:p>
      <w:pPr>
        <w:pStyle w:val="Heading3"/>
      </w:pPr>
      <w:r>
        <w:t xml:space="preserve">Федеральный закон от 31.07.2020 N 259-ФЗ "О цифровых финансовых активах, цифровой валюте и о внесении изменений в отдельные законодательные акты Российской Федерации"</w:t>
      </w:r>
    </w:p>
    <w:p>
      <w:pPr>
        <w:pStyle w:val="FirstParagraph"/>
      </w:pPr>
      <w:r>
        <w:t xml:space="preserve">26.02.2021</w:t>
      </w:r>
    </w:p>
    <w:p>
      <w:pPr>
        <w:pStyle w:val="BodyText"/>
      </w:pPr>
      <w:r>
        <w:t xml:space="preserve"> </w:t>
      </w:r>
    </w:p>
    <w:p>
      <w:pPr>
        <w:pStyle w:val="BodyText"/>
      </w:pPr>
      <w:hyperlink r:id="rId20">
        <w:r>
          <w:rPr>
            <w:rStyle w:val="Hyperlink"/>
          </w:rPr>
          <w:t xml:space="preserve">http://www.kremlin.ru/acts/bank/45766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http://moskvoreche-saburovo.mos.ru/anti-corruption/normative-legal-and-other-acts-in-the-field-of-combating-corruption/detail/9744288.html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anti-corruption/normative-legal-and-other-acts-in-the-field-of-combating-corruption/detail/9744288.html" TargetMode="External" /><Relationship Type="http://schemas.openxmlformats.org/officeDocument/2006/relationships/hyperlink" Id="rId20" Target="http://www.kremlin.ru/acts/bank/457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anti-corruption/normative-legal-and-other-acts-in-the-field-of-combating-corruption/detail/9744288.html" TargetMode="External" /><Relationship Type="http://schemas.openxmlformats.org/officeDocument/2006/relationships/hyperlink" Id="rId20" Target="http://www.kremlin.ru/acts/bank/457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2025-05-03T15:04:07Z</dcterms:created>
  <dcterms:modified xsi:type="dcterms:W3CDTF">2025-05-03T15:04:07Z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