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4c9fee0c226e67c37c61b9878517bbab9e786"/>
    <w:p>
      <w:pPr>
        <w:pStyle w:val="Heading3"/>
      </w:pPr>
      <w:r>
        <w:t xml:space="preserve">Распоряжение управы района №01-05-36 от 04.10.2021</w:t>
      </w:r>
    </w:p>
    <w:p>
      <w:pPr>
        <w:pStyle w:val="FirstParagraph"/>
      </w:pPr>
      <w:r>
        <w:t xml:space="preserve">05.10.2021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http://moskvoreche-saburovo.mos.ru/anti-corruption/normative-legal-and-other-acts-in-the-field-of-combating-corruption/detail/10295331.html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normative-legal-and-other-acts-in-the-field-of-combating-corruption/detail/102953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normative-legal-and-other-acts-in-the-field-of-combating-corruption/detail/102953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2025-05-03T15:04:00Z</dcterms:created>
  <dcterms:modified xsi:type="dcterms:W3CDTF">2025-05-03T15:04:00Z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