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c94c3afd1e07e39ab7cae48ff2f64f4894ebd"/>
    <w:p>
      <w:pPr>
        <w:pStyle w:val="Heading3"/>
      </w:pPr>
      <w:r>
        <w:t xml:space="preserve">Заполнение государственными гражданскими служащими справок о доходах, расходах, об имуществе и обязательствах имущественного характера (курс обучения).</w:t>
      </w:r>
    </w:p>
    <w:p>
      <w:pPr>
        <w:pStyle w:val="FirstParagraph"/>
      </w:pPr>
      <w:r>
        <w:t xml:space="preserve">12.03.2025</w:t>
      </w:r>
    </w:p>
    <w:p>
      <w:pPr>
        <w:pStyle w:val="BodyText"/>
      </w:pPr>
      <w:r>
        <w:t xml:space="preserve">Курс разработан для сотрудников Правительства Москвы, которым необходимо представлять сведения о доходах, расходах, об имуществе и обязательствах имущественного характера.</w:t>
      </w:r>
    </w:p>
    <w:p>
      <w:pPr>
        <w:pStyle w:val="BodyText"/>
      </w:pPr>
      <w:r>
        <w:t xml:space="preserve">Он поможет на наглядных и понятных примерах разобраться в требованиях к представлению государственными гражданскими служащими сведений о доходах и научиться быстро и корректно заполнять разделы справки в СПО «Справки БК».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https://talent.mos.ru/training/product/spravka/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http://moskvoreche-saburovo.mos.ru/anti-corruption/methodical-materials/detail/12852567.html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anti-corruption/methodical-materials/detail/12852567.html" TargetMode="External" /><Relationship Type="http://schemas.openxmlformats.org/officeDocument/2006/relationships/hyperlink" Id="rId20" Target="https://talent.mos.ru/training/product/sprav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anti-corruption/methodical-materials/detail/12852567.html" TargetMode="External" /><Relationship Type="http://schemas.openxmlformats.org/officeDocument/2006/relationships/hyperlink" Id="rId20" Target="https://talent.mos.ru/training/product/sprav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2025-07-15T21:31:39Z</dcterms:created>
  <dcterms:modified xsi:type="dcterms:W3CDTF">2025-07-15T21:31:39Z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