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амятка-для-гос.служащих-1"/>
    <w:p>
      <w:pPr>
        <w:pStyle w:val="Heading3"/>
      </w:pPr>
      <w:r>
        <w:t xml:space="preserve">Памятка для гос.служащих (1)</w:t>
      </w:r>
    </w:p>
    <w:p>
      <w:pPr>
        <w:pStyle w:val="FirstParagraph"/>
      </w:pPr>
      <w:r>
        <w:t xml:space="preserve">04.02.2025</w:t>
      </w:r>
    </w:p>
    <w:p>
      <w:pPr>
        <w:pStyle w:val="BodyText"/>
      </w:pPr>
      <w:r>
        <w:drawing>
          <wp:inline>
            <wp:extent cx="5334000" cy="69799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Памятка%20для%20гос.служащих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79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http://moskvoreche-saburovo.mos.ru/anti-corruption/methodical-materials/detail/12792600.html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anti-corruption/methodical-materials/detail/12792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anti-corruption/methodical-materials/detail/12792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2025-05-03T15:03:08Z</dcterms:created>
  <dcterms:modified xsi:type="dcterms:W3CDTF">2025-05-03T15:03:08Z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