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6bec4a33bfacaa4fc4b8ba5c27d08b022bf50"/>
    <w:p>
      <w:pPr>
        <w:pStyle w:val="Heading3"/>
      </w:pPr>
      <w:r>
        <w:t xml:space="preserve">Возможность приобретения гражданскими служащими ценных бумаг</w:t>
      </w:r>
    </w:p>
    <w:p>
      <w:pPr>
        <w:pStyle w:val="FirstParagraph"/>
      </w:pPr>
      <w:r>
        <w:t xml:space="preserve">10.10.2022</w:t>
      </w:r>
    </w:p>
    <w:p>
      <w:pPr>
        <w:pStyle w:val="BodyText"/>
      </w:pPr>
      <w:r>
        <w:t xml:space="preserve">Министерством труда и социальной защиты Российской Федерации в рамках реализации полномочий, предусмотренных подпунктами «а» и «в» пункта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подготовлено информационное письмо, касающееся возможности приобретения государственными гражданскими служащими Российской Федерации ценных бумаг в собственность, в формате вопросов и ответов.</w:t>
      </w:r>
    </w:p>
    <w:p>
      <w:pPr>
        <w:pStyle w:val="BodyText"/>
      </w:pPr>
      <w:r>
        <w:t xml:space="preserve">В связи с многообразием особенностей нормативного правового регулирования информационное письмо ориентировано именно на государственных гражданских служащих Российской Федерации. Вместе с тем положения информационного письма могут учитываться при рассмотрении соответствующих вопросов в отношении иных категорий лиц с учетом особенностей их правовых статусов.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https://mintrud.gov.ru/ministry/programms/anticorruption/9/21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http://moskvoreche-saburovo.mos.ru/anti-corruption/methodical-materials/detail/11096238.html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10962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methodical-materials/detail/110962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2025-05-03T15:03:28Z</dcterms:created>
  <dcterms:modified xsi:type="dcterms:W3CDTF">2025-05-03T15:03:28Z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